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E-2294/2012 vom 14. Mai 2012</w:t>
      </w:r>
    </w:p>
    <w:p>
      <w:r>
        <w:t>Bundesverwaltungsgericht, 2012-05-14, DE</w:t>
      </w:r>
    </w:p>
    <w:p>
      <w:r>
        <w:rPr>
          <w:b/>
        </w:rPr>
        <w:t xml:space="preserve">Quelle: </w:t>
      </w:r>
      <w:r>
        <w:t>https://mcp.opencaselaw.ch/entscheid/bvger_E-2294_2012</w:t>
      </w:r>
    </w:p>
    <w:p>
      <w:r>
        <w:t>FR: TAF E-2294/2012 du 14 mai 2012</w:t>
      </w:r>
    </w:p>
    <w:p>
      <w:r>
        <w:t>IT: TAF E-2294/2012 del 14 maggio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des Beschwerdeführers, es sei ihm Asyl zu gewähren, geht über den zulässigen Streitgegenstand hinaus. Auf die Beschwerde ist insoweit nicht einzutreten.</w:t>
      </w:r>
    </w:p>
    <w:p>
      <w:r>
        <w:rPr>
          <w:b/>
        </w:rPr>
        <w:t>E. 2.4</w:t>
      </w:r>
    </w:p>
    <w:p>
      <w:r>
        <w:t>Der Beschwerdeführer hat die Annahme seiner Volljährigkeit weder im vorinstanzlichen Verfahren (BFM-Akten A9/11 S. 9) noch im Beschwerdeverfahren weiter in Frage gestellt. Unter diesen Umständen hat das Bundesverwaltungsgericht keine Veranlassung, auf die Frage näher einzugehen oder darauf zurückzukommen.</w:t>
      </w:r>
    </w:p>
    <w:p>
      <w:r>
        <w:rPr>
          <w:b/>
        </w:rPr>
        <w:t>E. 2.5</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Der Beschwerdeführer stellt nicht in Abrede, dass er innerhalb von 48 Stunden nach Einreichen des Asylgesuchs keine Ausweispapiere abgegeben hat. Mit den Erwägungen der Vorinstanz, wonach keine entschuldbaren Gründe für die Nichtabgabe vorliegen, setzt er sich nicht ansatzweise auseinander. Weder ruft er Entschuldigungsgründe an, noch ist ersichtlich, dass er sich umgehend und ernsthaft darum bemüht habe, Reise- oder Identitätspapiere innert angemessener Frist zu beschaffen (vgl. BVGE 2010/2 E. 6.3). Der Beschwerdeführer hält einzig fest, er erfülle die Flüchtlingseigenschaft. Damit macht er geltend, die Vorinstanz hätte gestützt auf Art. 32 Abs. 3 Bst. a und b AsylG auf das Asylgesuch eintreten müssen.</w:t>
      </w:r>
    </w:p>
    <w:p>
      <w:r>
        <w:rPr>
          <w:b/>
        </w:rPr>
        <w:t>E. 4.1</w:t>
      </w:r>
    </w:p>
    <w:p>
      <w:r>
        <w:t>Gemäss Art. 32 Abs. 3 Bst. b und c AsylG ist auf Asylgesuche trotz Papierlosigkeit einzutreten, wenn auf 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4.2</w:t>
      </w:r>
    </w:p>
    <w:p>
      <w:r>
        <w:t>Die Vorinstanz gelangt in der angefochtenen Verfügung zum Schluss, der Beschwerdeführer erfülle die Flüchtlingseigenschaft nicht. Zur Begründung führt sie aus, seine Vorbringen seien von massiven Unstimmigkeiten gekennzeichnet und daher nicht glaubhaft. Namentlich widerspreche sich der Beschwerdeführer hinsichtlich der Dauer der Festnahme sowie der Dauer seiner homosexuellen Beziehung. Auch sei nicht nachvollziehbar, dass die Tochter des Dorfoberhauptes ihm zur Flucht verholfen habe, da sie sich mit diesem Vorgehen selber gefährdet hätte. Ferner erstaune, dass sich der Beschwerdeführer nach seiner Flucht nach Hause begeben und sich dort rund eine Woche aufgehalten habe. Ihm hätte bewusst sein müssen, dass er zu Hause am ehesten gesucht würde.</w:t>
      </w:r>
    </w:p>
    <w:p>
      <w:r>
        <w:rPr>
          <w:b/>
        </w:rPr>
        <w:t>E. 4.3</w:t>
      </w:r>
    </w:p>
    <w:p>
      <w:r>
        <w:t>Der Beschwerdeführer äussert sich in der Rechtsmitteleingabe zu den einzelnen Unstimmigkeitsmerkmalen, beschränkt sich indessen darauf, seine Aussagen anlässlich der Befragungen zu wiederholen und an ihrer Tatsächlichkeit festzuhalten beziehungsweise die beiden Versionen miteinander zu verbinden. Damit legt er nicht substantiiert dar, inwiefern die Vorinstanz zu Unrecht auf Unglaubhaftigkeit seiner Vorbringen geschlossen hat. Um Wiederholungen zu vermeiden, kann vorliegend vollumfänglich auf die zutreffenden Ausführungen in der angefochtenen Verfügung verwiesen werden. Insgesamt ergibt sich somit, dass die Vorinstanz die Flüchtlingseigenschaft zu Recht verneint und diesbezüglich weitere Abklärungen nicht für notwendig erachtet hat.</w:t>
      </w:r>
    </w:p>
    <w:p>
      <w:r>
        <w:rPr>
          <w:b/>
        </w:rPr>
        <w:t>E. 5</w:t>
      </w:r>
    </w:p>
    <w:p>
      <w:r>
        <w:t>Zusammenfassend ist festzustellen, dass die Vorinstanz zu Recht gestützt auf Art. 32 Abs. 2 Bst. a AsylG auf das Asylgesuch des Beschwerdeführers nicht eingetreten ist.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nach Nigeria dort mit beachtlicher Wahrscheinlichkeit einer nach Art. 3 EMRK oder Art. 1 FoK verbotenen Strafe oder Behandlung ausgesetzt wäre. Der Vollzug der Wegweisung ist demnach als zulässig zu beurteilen.</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Die allgemeine Lage im Nigeria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junge, gesunde und alleinstehende Beschwerdeführer hat die prägenden Kinder- und Jugendjahre in Nigeria verbracht und ist demnach mit der dortigen Kultur und Tradition verwurzelt. Gemäss seinen Angaben leben seine Eltern und Geschwister nach wie vor in B._______. Damit verfügt der Beschwerdeführer an seinem Herkunftsort über ein bestehendes familiäres und soziales Beziehungsnetz, auf welches er bei einer Rückkehr zurückgreifen und welches ihm bei der Reintegration behilflich sein kann. Der Vollzug der Wegweisung ist daher zumutbar.</w:t>
      </w:r>
    </w:p>
    <w:p>
      <w:r>
        <w:rPr>
          <w:b/>
        </w:rPr>
        <w:t>E. 7.3</w:t>
      </w:r>
    </w:p>
    <w:p>
      <w:r>
        <w:t>Nach Art. 83 Abs. 2 AuG ist der Wegweisungsvollzug schliesslich auch als möglich zu bezeichnen. Es obliegt dem Beschwerdeführer, sich bei der zuständigen Nigerischen Vertretung die für eine Rückkehr notwendigen Reisedokumente zu beschaffen (vgl. Art. 8 Abs. 4 AsylG und dazu BVGE 2008/34 E. 12).</w:t>
      </w:r>
    </w:p>
    <w:p>
      <w:r>
        <w:rPr>
          <w:b/>
        </w:rPr>
        <w:t>E. 8</w:t>
      </w:r>
    </w:p>
    <w:p>
      <w:r>
        <w:t>Nach dem Gesagten ergibt sich, dass die angefochtene Verfügung Bundesrecht nicht verletzt und auch nicht aus einem anderen Beschwerdegrund zu beanstanden ist (Art. 106 Abs. 1 AsylG). Die Beschwerde ist abzuweisen. Mit dem Entscheid in der Hauptsache werden der Antrag auf Erteilung der aufschiebenden Wirkung der Beschwerde sowie das Gesuch um vorsorgliche Massnahmen im Zusammenhang mit einer allfälligen Datenweitergabe an den Heimatstaat gegenstandlos. Sodann ist festzustellen, dass den Akten keine Hinweise zu entnehmen sind, wonach Daten des Beschwerdeführers bereits an den Heimatstaat übermittelt worden wären, weshalb auf das Begehren um entsprechende Offenlegung nicht weiter einzugehen ist.</w:t>
      </w:r>
    </w:p>
    <w:p>
      <w:r>
        <w:rPr>
          <w:b/>
        </w:rPr>
        <w:t>E. 9.1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