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E-228/2017 vom 19. Januar 2017</w:t>
      </w:r>
    </w:p>
    <w:p>
      <w:r>
        <w:t>Bundesverwaltungsgericht, 2017-01-19, DE</w:t>
      </w:r>
    </w:p>
    <w:p>
      <w:r>
        <w:rPr>
          <w:b/>
        </w:rPr>
        <w:t xml:space="preserve">Quelle: </w:t>
      </w:r>
      <w:r>
        <w:t>https://mcp.opencaselaw.ch/entscheid/bvger_E-228_2017</w:t>
      </w:r>
    </w:p>
    <w:p>
      <w:r>
        <w:t>FR: TAF E-228/2017 du 19 janvier 2017</w:t>
      </w:r>
    </w:p>
    <w:p>
      <w:r>
        <w:t>IT: TAF E-228/2017 del 19 gennaio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w:t>
      </w:r>
    </w:p>
    <w:p>
      <w:r>
        <w:rPr>
          <w:b/>
        </w:rPr>
        <w:t>E. 3.2</w:t>
      </w:r>
    </w:p>
    <w:p>
      <w:r>
        <w:t>Asylsuchende sind verpflichtet, an der Feststellung des Sachverhalts mitzuwirken. Sie müssen insbesondere ihre Identität offenlegen sowie Reisepapiere und Identitätsausweise abgeben (Art. 8 AsylG und Art. 2a Asylverordnung 1 über Verfahrensfragen [Asylverordnung 1, AsylV 1, SR 142.311]). Der Untersuchungsgrundsatz findet unter anderem seine Grenze an der Mitwirkungspflicht (Art. 8 AsylG, vgl. BVGE 2014/12 E. 6 S. 213 f.).</w:t>
      </w:r>
    </w:p>
    <w:p>
      <w:r>
        <w:rPr>
          <w:b/>
        </w:rPr>
        <w:t>E. 3.3</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 So hat die Vorinstanz aufgrund der Information auf der Fingerabdruck-Datenbank Eurodac (registrierte illegale Einreise Italien 23. August 2016) zu Recht die Zuständigkeit Italiens erkannt und die italienischen Behörden - gestützt auf Art. 13 Abs. 1 Dublin-III-VO - um Übernahme ersucht. Dass Italien nicht ausdrücklich Stellung genommen hat, bleibt ohne Bedeutung. Bereits mit Fristablauf wird die Zustimmung fingiert. Italien ist somit verpflichtet, die Person aufzunehmen und angemessene Vorkehrungen für die Ankunft zu treffen (Art. 22 Abs. 7 Dublin-III-VO). Die hiergegen geltend gemachten Einwände auf Beschwerdeebene sind nicht geeignet, eine Verletzung der Zuständigkeitsbestimmungen darzutun. Der Beschwerdeführer macht geltend, er sei minderjährig. Die Altersabklärung hat indes ein Alter von mindestens 19 Jahren oder älter ergeben (Altersabklärungen des Radiologischen Instituts Weinfelden RIWAG vom 26. September 2016, SEM-Akten, A9/2 und A10/2). Dieses Ergebnis wird durch das äussere Erscheinungsbild des Beschwerdeführers untermauert (Falten, Bartwuchs, etc.; Fotos in den SEM-Akten mit den entsprechenden Fragen der Vorinstanz in SEM-Akten, A13/4, S. 2). Ausserdem sind seine Aussagen zum Alter und zu seinem Lebenslauf widersprüchlich ausgefallen. In der Befragung zur Person sagte er unter Hinweis auf die Wahrheitspflicht aus, dass er ca. zwei Jahre nach dem Schulabbruch gearbeitet habe (SEM-Akten A12/13 S. 4). Diese Aussage bestätigte er auch noch in der Nachbefragung (SEM-Akten A13/4 S. 2). Erst als man ihn darauf aufmerksam machte, dass die Altersangaben demnach nicht der Wahrheit entsprechen können, korrigierte er sie und fügte nachträglich hinzu, er habe auch während der Schule gearbeitet (SEM-Akten, a.a.O., S. 2). Das Argument des Beschwerdeführers ist nachgeschoben und damit unglaubhaft. Hinzu kommt, dass er seiner Mitwirkungspflicht im Asylverfahren nicht nachgekommen ist. So hat er weder Reisepapiere noch Identitätsausweise abgegeben, obschon er seit Beginn seines Asylverfahrens bis zur Einreichung der Beschwerde vier Monate Zeit gehabt hätte (Art. 8 Abs. 1 Bst. b AsylG). Dass er über keine Identitätsdokumente verfüge, weil er minderjährig sei, ist eine durch nichts belegte Behauptung (SEM-Akten, A12/13, S. 6 f.). Kein rechtsgenügliches Ausweispapier ist die mit der Beschwerde eingereichte Taufurkunde. Sie ist nicht geeignet, das Alter nachzuweisen oder glaubhaft zu machen, zumal sie weder ein Foto noch fälschungssichere Merkmale aufweist. Sodann ist die Ausführung, er habe sein Alter von seiner Mutter erfahren, stereotyp, mithin ebenfalls unglaubhaft (SEM-Akten, A12/13, S. 3). Aus der zitierten Rechtsprechung kann er nichts zu seinen Gunsten ableiten. Der Antrag, die Vorinstanz sei anzuweisen, die Minderjährigkeit des Beschwerdeführers anzuerkennen und den zuständigen Kanton über dessen Anwesenheit zu informieren, ist deshalb abzuweisen. Insoweit sich der Beschwerdeführer auf Art. 3 Abs. 1 Dublin-III-VO beruft, ist das Folgende festzuhalten.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Im Übrigen handelt es sich beim Beschwerdeführer um einen jungen, gesunden Mann ohne Kinder, weshalb für die Dublin-Überstellung auch keine individuellen Garantien von den italienischen Behörden einzuholen sind (Urteil des EGMR Tarakhel gegen die Schweiz vom 4. November 2014, 29217/12 und BVGE 2015/4 E. 4.1). Unter diesen Umständen ist die Anwendung von Art. 3 Abs. 2 Dublin-III-VO nicht gerechtfertigt. Schliesslich kann der Beschwerdeführer aus der Tatsache, dass eine seiner Tanten (Halbschwester seiner Mutter, Beschwerde S. 9) in der Schweiz lebt, ebenfalls nichts zu seinen Gunsten ableiten, weil diese nicht als Familienmitglied im Sinne von Art. 2 Bst. g Dublin-III-VO gilt. Um Wiederholungen zu vermeiden, ist auf die zutreffenden Ausführungen der Vorinstanz zu verweisen, die folgerichtig ein Selbsteintrittsrecht ausgeschlossen hat (Art. 17 Dublin-III-VO, Art. 29a Abs. 3 AsylV 1) und zu Recht auf das Asylgesuch nicht eingetreten ist.</w:t>
      </w:r>
    </w:p>
    <w:p>
      <w:r>
        <w:rPr>
          <w:b/>
        </w:rPr>
        <w:t>E. 4</w:t>
      </w:r>
    </w:p>
    <w:p>
      <w:r>
        <w:t>Aus diesen Erwägungen ergibt sich, dass die angefochtene Verfügung Bundesrecht nicht verletzt und auch sonst nicht zu beanstanden ist (Art. 106 AsylG und Art. 49 VwVG). Die Beschwerde ist abzuweisen. Der Antrag betreffend aufschiebende Wirkung und Anweisung der Behörden ist mit vorliegendem Urteil gegenstandslos geworden.</w:t>
      </w:r>
    </w:p>
    <w:p>
      <w:r>
        <w:rPr>
          <w:b/>
        </w:rPr>
        <w:t>E. 5.1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5.2</w:t>
      </w:r>
    </w:p>
    <w:p>
      <w:r>
        <w:t>Bei diesem Ausgang des Verfahrens sind die Kosten von Fr. 600.- (Art. 1-3 des Reglements vom 21. Februar 2008 über die Kosten und Entschädigungen vor dem Bundesverwaltungsgericht [VGKE], SR 173.320.2) dem Beschwerdeführer aufzuerlegen.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