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E-2286/2024 vom 13. Juni 2024</w:t>
      </w:r>
    </w:p>
    <w:p>
      <w:r>
        <w:t>Bundesverwaltungsgericht, 2024-06-13, FR</w:t>
      </w:r>
    </w:p>
    <w:p>
      <w:r>
        <w:rPr>
          <w:b/>
        </w:rPr>
        <w:t xml:space="preserve">Quelle: </w:t>
      </w:r>
      <w:r>
        <w:t>https://mcp.opencaselaw.ch/entscheid/bvger_E-2286_2024</w:t>
      </w:r>
    </w:p>
    <w:p>
      <w:r>
        <w:t>FR: TAF E-2286/2024 du 13 juin 2024</w:t>
      </w:r>
    </w:p>
    <w:p>
      <w:r>
        <w:t>IT: TAF E-2286/2024 del 13 giugno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Ils sont entièrement couverts par l'avance de frais versée le 21 mai 2024.</w:t>
      </w:r>
    </w:p>
    <w:p>
      <w:r>
        <w:rPr>
          <w:b/>
        </w:rPr>
        <w:t>E. 3</w:t>
      </w:r>
    </w:p>
    <w:p>
      <w:r>
        <w:t>La présente décision incidente est adressée au mandataire du recourant, au SEM et à l'autorité cantonale. Le juge unique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