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E-2284/2019 vom 22. Juli 2021</w:t>
      </w:r>
    </w:p>
    <w:p>
      <w:r>
        <w:t>Bundesverwaltungsgericht, 2021-07-22, DE</w:t>
      </w:r>
    </w:p>
    <w:p>
      <w:r>
        <w:rPr>
          <w:b/>
        </w:rPr>
        <w:t xml:space="preserve">Quelle: </w:t>
      </w:r>
      <w:r>
        <w:t>https://mcp.opencaselaw.ch/entscheid/bvger_E-2284_2019</w:t>
      </w:r>
    </w:p>
    <w:p>
      <w:r>
        <w:t>FR: TAF E-2284/2019 du 22 juillet 2021</w:t>
      </w:r>
    </w:p>
    <w:p>
      <w:r>
        <w:t>IT: TAF E-2284/2019 del 22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ist im Verfahren einzelrichterlicher Zuständigkeit mit Zustimmung eines zweiten Richters oder einen zweiten Richterin zu behandeln, weil sie sich im Ergebnis als offensichtlich begründet erweist (Art. 111 Bst. e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damit, dass die Vorbringen des Beschwerdeführers nicht asylrelevant seien. Der Beschwerdeführer sei lediglich einmal zu einer Befragung durch das CID mitgenommen worden, was mangels erforderlicher Intensität keine Asylrelevanz entfalte. Aus demselben Grund stellten die Probleme mit den sri-lankischen Behörden hinsichtlich des Grundstücks der Eltern keine Verfolgung im Sinne von Art. 3 AsylG dar. Bei offensichtlich fehlender Asylrelevanz könne darauf verzichtet werden, auf allfällige Unglaubhaftigkeitselemente in den Vorbringen näher einzugehen. Hinsichtlich des Wegweisungsvollzugs stellte das SEM fest, dass der Grundsatz des Rückschiebungsverbots gemäss Art. 5 AsylG nicht angewandt werden könne, da der Beschwerdeführer die Flüchtlingseigenschaft nicht erfülle. Ferner würden sich aus den Akten keine Anhaltspunkte dafür ergeben, dass dem Beschwerdeführer im Fall einer Rückkehr in den Heimatstaat mit beachtlicher Wahrscheinlichkeit eine durch Art. 3 EMRK verbotene Strafe oder Behandlung drohe. Im Weiteren würden weder die im Heimatstaat des Beschwerdeführers herrschende politische Situation noch andere Gründe gegen die Zumutbarkeit des Wegweisungsvollzugs in den Heimatstaat sprechen.</w:t>
      </w:r>
    </w:p>
    <w:p>
      <w:r>
        <w:rPr>
          <w:b/>
        </w:rPr>
        <w:t>E. 5.2</w:t>
      </w:r>
    </w:p>
    <w:p>
      <w:r>
        <w:t>In der Beschwerde wurde im Wesentlichen geltend gemacht, dass die Vorinstanz den rechtserheblichen Sachverhalt weder vollständig noch richtig abgeklärt habe. Das SEM habe die Gefährdungslage des Beschwerdeführers nicht umfassend beurteilt. Sie habe verkannt, dass dessen politisches Engagement sowie die Grundstücksrückeroberung und die damit verbundene Festnahme kumulierte Risikofaktoren darstellten. In Sri Lanka sei der sogenannte Landraub durch die sri-lankische Armee ein heikles Thema. Immer wieder komme es deswegen zu grossen Demonstrationen und Verhaftungen. Es sei gerichtsnotorisch, dass Personen, welche sich gegen die Armeeführung aufgelehnt hätten, spurlos verschwunden wären. Dieses Risiko bestehe auch beim Beschwerdeführer, bei welchem verschiedene Risikofaktoren vorhanden seien (Aktivitäten für die TNA, Verbindung zu einem rehabilitierten LTTE-Mitglied sowie Widerstand gegen die Armee). Die Festnahme des Vaters bestätige, dass der Beschwerdeführer nach wie vor gesucht werde. Im Zusammenhang mit Personen mit LTTE-Verbindung beziehungsweise TNA sei vorliegend auf die Erwägung E.8.5.3 im Referenzurteil E-1866/2015 vom 15. Juli 2016 verwiesen. Entgegen der Ansicht der Vorinstanz sei der Beschwerdeführer auch aktuell Verfolgung ausgesetzt. Erschwerend komme hinzu, dass zurzeit die Notstandsverordnung gelte. Unter dem Vorwand der Terrorbekämpfung würden auch unschuldige Aktivisten und Studenten verhaftet.</w:t>
      </w:r>
    </w:p>
    <w:p>
      <w:r>
        <w:rPr>
          <w:b/>
        </w:rPr>
        <w:t>E. 6.1</w:t>
      </w:r>
    </w:p>
    <w:p>
      <w:r>
        <w:t>In der Beschwerde wird geltend gemacht, dass die Vorinstanz den rechtserheblichen Sachverhalt weder vollständig noch richtig abgeklärt habe. Das SEM habe die Gefährdungslage des Beschwerdeführers nicht umfassend beurteilt. Diese formellen Rügen sind vorab zu behandeln, da sie geeignet sein können, eine Kassation der vorinstanzlichen Verfügung zu bewirken. 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5.1).Im Asylverfahren gilt - wie in anderen Verwaltungsverfahren - der Untersuchungsgrundsatz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(vgl. BVGE 2015/10 E. 3.2 m.w.H.).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2016/2 E. 4.3). Im Referenzurteil E-1866/2015 vom 15. Juli 2016 hat das Bundesverwaltungsgericht hinsichtlich der Situation von tamilischen Rückkehrenden nach Sri Lanka festgehalten, dass im Rahmen der Beurteilung, ob der oder die Betroffene ernsthafte Gründe für die Befürchtung habe, die Behörden hätten an seiner Festnahme und Befragung ein Interesse, verschiedene Aspekte beziehungsweise persönliche Risikofaktoren in Betracht gezogen werden müssten (u.a. Verbindung zur LTTE). Eine solche notwendige Prüfung der genannten Risikofaktoren unter Berücksichtigung der aktuellen Rechtsprechung hat das SEM, obwohl vorliegend vorhanden (Tätigkeiten für die TNA, Verbindung zu einem rehabilitierten LTTE-Mitglied, Auseinandersetzung im Zusammenhang mit der Grundstücksrückeroberung durch sri-lankische Armee) in keiner Weise (auch nicht implizit) vorgenommen. Vielmehr blieb das genannte Referenzurteil gänzlich unerwähnt, womit das SEM den Untersuchungsgrundsatz und die Begründungspflicht in grober Weise verletzt hat. Ohnehin hat es unterlassen, die Gefährdungssituation des Beschwerdeführers bei der Ausreise im Rahmen einer Gesamtbetrachtung zu prüfen.</w:t>
      </w:r>
    </w:p>
    <w:p>
      <w:r>
        <w:rPr>
          <w:b/>
        </w:rPr>
        <w:t>E. 6.2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stellt insbesondere die gänzliche Nichtberücksichtigung des nach gefestigter Rechtsprechung für die individuelle Beurteilung der Gefährdungssituation rückkehrender Tamilen massgeblichen Referenzurteils E-1866/2015 vom 15. Juli 2016 einen augenscheinlichen und schwerwiegenden Mangel dar. Es liegt nicht am Bundesverwaltungsgericht, anstelle der Vorinstanz die notwendigen Schlüsse aus dem Sachverhalt zu ziehen, und es ist auch nicht seine Aufgabe, offensichtliche Versäumnisse des SEM auf Beschwerdeebene zu beheben und damit die Vorinstanz gleichsam von einer sorgfältigen Verfahrensführung zu entbinden, zumal dem Beschwerdeführer durch ein solches Vorgehen eine Instanz verloren ginge. Somit fällt eine Heilung der festgestellten Mängel in der angefochtenen Verfügung nicht in Betracht (vgl. zum Ganzen BVGE 2009/53 E. 7.3).</w:t>
      </w:r>
    </w:p>
    <w:p>
      <w:r>
        <w:rPr>
          <w:b/>
        </w:rPr>
        <w:t>E. 6.3</w:t>
      </w:r>
    </w:p>
    <w:p>
      <w:r>
        <w:t>Bei dieser Sachlage ist die angefochtene Verfügung aus formellen Gründen aufzuheben und die Sache in Anwendung von Art. 61 Abs. 1 VwVG an die Vorinstanz zurückzuweisen. Diese ist anzuweisen, die Vorbringen des Beschwerdeführers einer Gesamtbeurteilung zu unterziehen und dabei insbesondere bei seiner erneuten Entscheidung die notwendige Prüfung der Risikofaktoren unter Berücksichtigung der aktuellen Rechtsprechung gemäss Referenzurteil E-1866/2015 vom 15. Juli 2016 vorzunehmen.</w:t>
      </w:r>
    </w:p>
    <w:p>
      <w:r>
        <w:rPr>
          <w:b/>
        </w:rPr>
        <w:t>E. 7</w:t>
      </w:r>
    </w:p>
    <w:p>
      <w:r>
        <w:t>Die Beschwerde ist gutzuheissen. Die vorinstanzliche Verfügung vom 5. April 2019 ist aufzuheben und die Sache im Sinne der Erwägungen zur Neubeurteilung an die Vorinstanz zurückzuweisen.</w:t>
      </w:r>
    </w:p>
    <w:p>
      <w:r>
        <w:rPr>
          <w:b/>
        </w:rPr>
        <w:t>E. 8.1</w:t>
      </w:r>
    </w:p>
    <w:p>
      <w:r>
        <w:t>Bei diesem Ausgang des Verfahrens sind keine Verfahrenskosten zu erheben (vgl. Art. 63 Abs. 1 VwVG). Dem Beschwerdeführer wird der bereits geleistete Kostenvorschuss in der Höhe von Fr. 750.- rückerstattet.</w:t>
      </w:r>
    </w:p>
    <w:p>
      <w:r>
        <w:rPr>
          <w:b/>
        </w:rPr>
        <w:t>E. 8.2</w:t>
      </w:r>
    </w:p>
    <w:p>
      <w:r>
        <w:t>Dem vertretenen Beschwerdeführer ist angesichts seines Obsiegens in Anwendung von Art. 64 VwVG und Art. 7 Abs. 1 VGKE eine Entschädigung für die ihm notwendigerweise erwachsenen Parteikosten zuzusprechen. Entschädigungspflichtig ist nur der notwendige Aufwand. Seitens der Rechtsvertretung wurde keine Kostennote eingereicht. Auf die Nachforderung einer solchen kann indes verzichtet werden, da der Aufwand für den Rechtsvertreter zuverlässig abgeschätzt werden kann (Art. 14 Abs. 2 in fine VGKE). In Anwendung der massgeblichen Bemessungsfaktoren (vgl. Art. 8-11 VGKE) ist das Honorar auf Fr. 800.-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