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E-2278/2024 vom 10. Mai 2024</w:t>
      </w:r>
    </w:p>
    <w:p>
      <w:r>
        <w:t>Bundesverwaltungsgericht, 2024-05-10, DE</w:t>
      </w:r>
    </w:p>
    <w:p>
      <w:r>
        <w:rPr>
          <w:b/>
        </w:rPr>
        <w:t xml:space="preserve">Quelle: </w:t>
      </w:r>
      <w:r>
        <w:t>https://mcp.opencaselaw.ch/entscheid/bvger_E-2278_2024</w:t>
      </w:r>
    </w:p>
    <w:p>
      <w:r>
        <w:t>FR: TAF E-2278/2024 du 10 mai 2024</w:t>
      </w:r>
    </w:p>
    <w:p>
      <w:r>
        <w:t>IT: TAF E-2278/2024 del 10 maggio 2024</w:t>
      </w:r>
    </w:p>
    <w:p>
      <w:pPr>
        <w:pStyle w:val="Heading2"/>
      </w:pPr>
      <w:r>
        <w:t>Regeste</w:t>
      </w:r>
    </w:p>
    <w:p>
      <w:r>
        <w:t>Asyl und Wegweisung</w:t>
      </w:r>
    </w:p>
    <w:p>
      <w:pPr>
        <w:pStyle w:val="Heading2"/>
      </w:pPr>
      <w:r>
        <w:t>Erwägungen</w:t>
      </w:r>
    </w:p>
    <w:p>
      <w:r>
        <w:rPr>
          <w:b/>
        </w:rPr>
        <w:t>E. 18</w:t>
      </w:r>
    </w:p>
    <w:p>
      <w:r>
        <w:t>Januar 2024 E. 6.2.1 m.w.H.), dass die Beschwerdeführerin in der Lage war, sich von ihrem ersten Ehe- mann gerichtlich scheiden zu lassen (vgl. SEM-Akten 1256632-19/73; 1256632-A20/21 F19), dass es den Beschwerdeführern somit nicht gelingt, ihre Flüchtlingseigen- schaft nachzuweisen oder zumindest aufzuzeigen, weshalb die Vorinstanz ihre Asylgesuche zu Unrecht abgelehnt hat, dass im Übrigen auf die überzeugenden Erwägungen der Vorinstanz in der angefochtenen Verfügung verwiesen werden kann,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das Bundesverwaltungsgericht auch nach dem Erdbeben vom Feb- ruar 2023 den Vollzug der Wegweisung abgewiesener Asylsuchender in</w:t>
      </w:r>
    </w:p>
    <w:p>
      <w:r>
        <w:t>E-2278/2024 Seite 7 die betroffenen Gebiete – wie etwa die Provinz E._______ – nicht für ge- nerell unzumutbar hält, sondern zur Beurteilung der Zumutbarkeit eine ein- zelfallweise Prüfung der individuellen Lebenssituation vornimmt (Urteil des BVGer E-1308/2023 vom 19. März 2024 E. 11.3.1 [zur Publikation vorge- sehen]), dass der Situation vulnerabler Personen gebührend Rechnung zu tragen ist, namentlich wenn diese in die Provinz E._______ zurückkehren müss- ten (Urteil E-1308/2023 E. 11.3.1), dass bei individueller Unzumutbarkeit der Rückkehr in eine der betroffenen Provinzen in einem zweiten Schritt eine zumutbare Aufenthaltsalternative in einer anderen Region der Türkei zu prüfen wäre (vgl. BVGE 2013/2 E. 9.6.1 m.w.H.), dass die Beschwerdeführer über Familienmitglieder in der Türkei und in der Schweiz verfügen, welche sie nötigenfalls bei ihrer Wiedereingliede- rung und die Beschwerdeführerin bei einem allfälligen Beschreiten des Rechtswegs gegen den Ehemann unterstützen könnten (vgl. SEM-Akten 1256632-A20/21 F36ff., F151ff., F168, F183; 1306428-18/15 F11, F33), dass sie auch in einer anderen als ihrer Herkunftsprovinz Fuss fassen könnten, zumal die Schwester der Beschwerdeführerin in F._______ und zwei Brüder sowie die Mutter in D._______ leben und die Beschwerdefüh- rer in der Vergangenheit bereits bei den Verwandten in D._______ wohn- ten (vgl. SEM-Akten 1256632-A20/21 F25, F38; 1306428-18/15 F85, F88), dass die für den Beschwerdeführer geltend gemachte Epilepsie auch in der Türkei behandelt werden kann und behandelt wurde (SEM-Akte 1306428- 18/15 F36ff.), dass sich den Akten keine Hinweise auf die weiteren im Rahmen der An- hörungen und in der Beschwerde geltend gemachten physischen respek- tive psychischen Leiden der Beschwerdeführer entnehmen lassen, dass der zum Zeitpunkt des Wegweisungsvollzugs vorherrschenden medi- zinischen Situation der Beschwerdeführer im Rahmen der Rückführungs- modalitäten Rechnung zu tragen ist, dass sich der Vollzug der Wegweisung somit in allgemeiner wie auch in individueller Hinsicht als zumutbar erweist,</w:t>
      </w:r>
    </w:p>
    <w:p>
      <w:r>
        <w:t>E-2278/2024 Seite 8 dass es den Beschwerdeführern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und amtlichen Rechtsverbeiständung (im Sinne von Art. 65 Abs. 1 VwVG und Art. 102m AsylG) abzuweisen ist, da sich die Beschwerde nach dem Ge- sagten als von Anfang an aussichtslos erwiesen hat, dass den Beschwerdeführern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E-2278/2024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