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E-2276/2016 vom 28. April 2016</w:t>
      </w:r>
    </w:p>
    <w:p>
      <w:r>
        <w:t>Bundesverwaltungsgericht, 2016-04-28, DE</w:t>
      </w:r>
    </w:p>
    <w:p>
      <w:r>
        <w:rPr>
          <w:b/>
        </w:rPr>
        <w:t xml:space="preserve">Quelle: </w:t>
      </w:r>
      <w:r>
        <w:t>https://mcp.opencaselaw.ch/entscheid/bvger_E-2276_2016</w:t>
      </w:r>
    </w:p>
    <w:p>
      <w:r>
        <w:t>FR: TAF E-2276/2016 du 28 avril 2016</w:t>
      </w:r>
    </w:p>
    <w:p>
      <w:r>
        <w:t>IT: TAF E-2276/2016 del 28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w:t>
      </w:r>
    </w:p>
    <w:p>
      <w:r>
        <w:t>Gestützt auf Art. 111a Abs. 1 AsylG wurde vorliegend auf einen Schriftenwechsel verzichtet. 2. Die Gesuche, der Beschwerde sei die aufschiebende Wirkung zu erteilen, sowie das Ersuchen um Verzicht auf die Erhebung eines Kostenvorschusses werden mit dem vorliegenden Entscheid in der Sache gegenstandslos.</w:t>
      </w:r>
    </w:p>
    <w:p>
      <w:r>
        <w:rPr>
          <w:b/>
        </w:rPr>
        <w:t>E. 3.1</w:t>
      </w:r>
    </w:p>
    <w:p>
      <w:r>
        <w:t>Vorab ist zu prüfen, ob das SEM das rechtliche Gehör der Beschwerdeführerin verletzt hat, da ein Verfahrensmangel allenfalls geeignet wäre, eine Kassation des vorinstanzlichen Entscheides zu bewirken (vgl. KÖLZ/HÄNER/BERTSCHI, Verwaltungsverfahren und Verwaltungsrechtspflege des Bundes, 3.Aufl. 2013, Rz.1156 m.w.H.). Der Grundsatz des rechtlichen Gehörs (Art. 29 Abs. 2 BV) verpflichtet die Behörden nicht nur, den Parteien zu ermöglichen, sich zu äussern und ihre Vorbringen tatsächlich zu hören (Art. 30 f. VwVG), sondern diese auch sorgfältig und ernsthaft zu prüfen und in der Entscheidfindung zu berücksichtigen. Die Vorinstanz ist zudem verpflichtet, ihren Entscheid zu begründen (Art. 35 Abs. 1 VwVG), wobei dieser regelmässig so abgefasst sein muss, dass ihn der Betroffene gegebenenfalls sachgerecht anfechten kann (vgl. BGE 134 I 183 E. 4.1, 124 V 180 E. 1a).</w:t>
      </w:r>
    </w:p>
    <w:p>
      <w:r>
        <w:rPr>
          <w:b/>
        </w:rPr>
        <w:t>E. 3.2</w:t>
      </w:r>
    </w:p>
    <w:p>
      <w:r>
        <w:t>Die Beschwerdeführerin brachte sinngemäss vor, dass sie über das konkrete Projekt, in dem sie und ihr Kind in Italien untergebracht werde, hätte informiert werden und ihr über eine solche, allfällige nachträgliche individuelle Garantie seitens der italienischen Behörden das Recht zur Stellungnahme hätte gewährt werden müssen. Diesbezüglich ist vorwegzunehmen, dass das Bundesverwaltungsgericht entsprechend des kürzlich ergangenen Urteils D 6358/2015 vom 7. April 2016 E. 5.2 (zur Publikation vorgesehen) davon ausgeht, dass die vorliegende Zusicherung der italienischen Behörden (namentlich die Zustimmung vom 21. März 2016, in welcher eine kindesgerechte Unterbringung gemäss dem Rundschreiben vom 16. Februar 2016 zugesichert wird) eine ausreichende Garantieerklärung darstellt (vgl. näher E. 8.2 ff.), weshalb der Einwand der Beschwerdeführerin ins Leere läuft. Indem der Beschwerdeführerin schliesslich zusammen mit dem Entscheid Einsicht in das anonymisierte Zustimmungsschreiben der italienischen Behörden vom 21. März 2016 (vgl. SEM-Akten: A31) gewährt wurde und sich das SEM in der Verfügung vom 1. April 2016 rechtsgenüglich zu den Umständen der vorliegenden Garantien äusserte, konnte sie die entscheidrelevanten Gründe des Überstellungsentscheids sachgerecht anfechten. Darüber hinausgehende gerichtlich überprüfbare Gehörspflichten im Bereich der Vollzugsmodalitäten sind vorliegend nicht ersichtlich und ergeben sich im Übrigen auch nicht aus den angerufenen Richtlinien 2008/115/EG des Europäischen Parlaments und des Rates vom 16. Dezember 2008 (sog. Rückführungsrichtlinien) beziehungsweise dem zitierten Urteil des Europäischen Gerichtshofs C-249/13 vom 11. Dezember 2014. Was sodann das Vorbringen betrifft, die Rundschreiben der italienischen Behörden hätten der Beschwerdeführerin zugänglich gemacht werden müssen, ist der Beschwerdeeingabe zu entnehmen, dass ihr diese offenbar bekannt gewesen sind (vgl. insb. Beschwerdeeingabe S. 12). Zwar ist richtig, dass die Dokumente in den Akten fehlen, indes sind sie öffentlich auf der Homepage von "European Database of Asylum Law (EDAL)" beziehungsweise von "Asylum Information Database (AIDA)" abrufbar (vgl. www.asylumlawdatabase.eu bzw. www.asylumineurope.org, beide besucht am 21. April 2016). Unter diesen Umständen ist nicht ersichtlich, inwiefern der Beschwerdeführerin durch dieses Vorgehen ein Rechtsnachteil erwachsen sein könnte, weshalb sich die Rüge als unbegründet erweist. Vollständigkeitshalber werden der Beschwerdeführerin mit vorliegendem Urteil die betreffenden Rundschreiben, insbesondere die aktualisierte Liste vom 15. Februar 2016, welche die gegenwärtigen Plätze auflistet, zugestellt.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wie das vorliegende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 Im Rahmen eines Wiederaufnahmeverfahrens (engl.: take back) findet demgegenüber grundsätzlich keine (erneute) Zuständigkeitsprüfung nach Kapitel III statt (vgl. BVGE 2012/4 E. 3.2.1 m.w.H.),</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w:t>
      </w:r>
    </w:p>
    <w:p>
      <w:r>
        <w:t>Den Akten ist zu entnehmen, dass der Beschwerdeführerin von Italien eine Aufenthaltsbewilligung mit Gültigkeit vom (...) bis (...) im Rahmen einer Familienzusammenführung ausgestellt worden war, was die italienischen Behörden mit Schreiben vom 1. Februar 2016 bestätigten. Nachdem die italienischen Behörden das auf Art. 12 Abs. 1 Dublin-III-VO gestützte Übernahmeersuchen des SEM vom 13. Januar 2016 innert der in Art. 22 Abs. 1 Dublin-III-VO vorgesehenen Frist unbeantwortet liessen, ist von ihrer Zustimmung auszugehen ist (vgl. Art. 22 Abs. 7 Dublin-III-VO). Darüber hinaus hiess Italien das Ersuchen am 21. März 2016 nachträglich gut und sicherte der Beschwerdeführerin und ihrer Tochter gleichzeitig eine kindsgerechte Unterbringung unter Wahrung der Familieneinheit zu. Die Zuständigkeit Italiens im vorliegenden Fall ist somit grundsätzlich gegeben, woran der Einwand der Beschwerdeführerin, sie sei nie im Rahmen einer Familienzusammenführung nach Italien gereist und der Schlepper habe das Visum organisiert, nichts zu ändern vermag, zumal sie in der Befragung einräumte, wenn auch erst 2015, über Italien in die Schweiz ­ gereist zu sein (vgl. A6 S.7). Dies gilt auch in Bezug auf ihre Ausführung, sie habe die Schweiz als Zieldestination ausgewählt, weil hier die grösste Menschenrechtsorganisation der Schweiz sei, wobei das SEM zu Recht feststellte, die Beschwerdeführerin könne den zuständigen Mitgliedstaat, in welchem sie das Asylverfahren durchlaufen möchte, nicht selber auswählen (vgl. BVGE 2010/45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Im Lichte von Art. 3 Abs. 2 Dublin-III-VO ist folglich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bestehen keine Hinweise dafür, dass sich das Land nicht an die daraus resultierenden Verpflichtungen halten würde. Der EGMR hat sodann in seinem Urteil Tarakhel bezüglich Italien keine systemischen Mängel festgestellt und führte insbesondere aus, die heutige Lage Italiens sei nicht mit derjenigen von Griechenland (vgl. Urteil M.S.S. vs. Belgien und Griechenland des EGMR [Grosse Kammer] vom 21. Januar 2011, Nr. 30696/09) vergleichbar (vgl. Urteil Tarakhel vs. Schweiz [Grosse Kammer] vom 4. November 2014, Nr. 29217/14, § 114 f. und § 120), Unter diesen Umständen ist die Anwendung von Art. 3 Abs. 2 Satz 2 Dublin-III-VO nicht gerechtfertigt.</w:t>
      </w:r>
    </w:p>
    <w:p>
      <w:r>
        <w:rPr>
          <w:b/>
        </w:rPr>
        <w:t>E. 7</w:t>
      </w:r>
    </w:p>
    <w:p>
      <w:r>
        <w:t>Ferner ist der Frage nachzugehen, ob für die Beschwerdeführenden in einer individuellen Betrachtung eine Gefährdung nach Art. 3 EMRK oder sonstigem Völkerrecht aufgezeigt ist, woraus sich - abweichend von Art. 3 Abs. 1 Dublin-III-VO - zwingende Gründe für die Ausübung der Ermes-sensklausel und für einen Selbsteintritt nach Art. 17 Abs. 1 Dublin-III-VO ergeben würden.</w:t>
      </w:r>
    </w:p>
    <w:p>
      <w:r>
        <w:rPr>
          <w:b/>
        </w:rPr>
        <w:t>E. 7.1</w:t>
      </w:r>
    </w:p>
    <w:p>
      <w:r>
        <w:t>Die Beschwerdeführenden beantragen in ihrer Rechtsmitteleingabe, es sei zu prüfen, ob eine genügende individuelle Zusicherung seitens der italienischen Behörden vorliege und die angefochtene Verfügung sei sinngemäss im Lichte der jüngsten Rechtsprechung des EGMR sowie des darauf aufbauenden BVGE 2015/4 aufzuheben.</w:t>
      </w:r>
    </w:p>
    <w:p>
      <w:r>
        <w:rPr>
          <w:b/>
        </w:rPr>
        <w:t>E. 7.2</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7.3</w:t>
      </w:r>
    </w:p>
    <w:p>
      <w:r>
        <w:t>Sodann hielt das Bundesverwaltungsgericht im bereits erwähnten zur Publikation vorgesehenen Urteils D 6358/2015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Daraus ergebe sich, dass es sich bei den SPRAR-Projekten um ein bewirtschaftetes System handle, das sein Angebot aufgrund der bestehenden Bedürfnisse auszurichten versuche. Darüber hinaus würden derzeit keine Anzeichen dafür bestehen, dass es in Italien bei der Unterbringung von Familien zu gravierenden Problemen komme. Es gelte schliesslich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7.4</w:t>
      </w:r>
    </w:p>
    <w:p>
      <w:r>
        <w:t>Vorliegend ist in diesem Sinn von einer genügenden Zusicherung auszugehen. In casu geht aus dem Schreiben der italienischen Behörden vom 21. März 2016 hervor, dass die Beschwerdeführerin und ihre Tochter individuell namentlich und mit Geburtsdatum erwähnt sind und es den Vermerk "nucleo familiare" trägt. Zudem wird ausdrücklich auf die aktualisierte Liste der SPRAR-Projekte vom 15. Februar 2016 verwiesen. Dieses Schreiben stellt demnach eine gemäss dem Entscheid Tarakhel und BVGE 2015/4 geforderte Garantieerklärung der italienischen Behörden dar, weshalb der gegenteilige Einwand nicht verfängt. Was das Vorbringen betrifft, es sei trotz der vorliegenden Zusicherung aufgrund akuter Kapazitätsprobleme davon auszugehen, dass die Beschwerdeführerin keinen Zugang zu einem SPRAR-Projekt habe, hat das SEM zu Recht darauf hingewiesen, dass es den italienischen Behörden obliege, die asylsuchenden Personen nach Ankunft in Italien unter Berücksichtigung der momentanen Auslastung einer konkreten Aufnahmestruktur zuzuweisen, welche speziell auch auf die Bedürfnisse von Minderjährigen ausgerichtet ist. Es ist nicht ersichtlich, inwiefern dies von den italienischen Behörden im Falle der Beschwerdeführerin nicht eingehalten werden sollte. Schliesslich vermögen auch die übrigen Ausführungen auf Beschwerdestufe obige Einschätzung nicht umzustossen.</w:t>
      </w:r>
    </w:p>
    <w:p>
      <w:r>
        <w:rPr>
          <w:b/>
        </w:rPr>
        <w:t>E. 7.5</w:t>
      </w:r>
    </w:p>
    <w:p>
      <w:r>
        <w:t>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7.6</w:t>
      </w:r>
    </w:p>
    <w:p>
      <w:r>
        <w:t>Unter diesen Umständen wurde keine Gefährdung nach Art. 3 EMRK oder sonstigem Völkerrecht dargetan.</w:t>
      </w:r>
    </w:p>
    <w:p>
      <w:r>
        <w:rPr>
          <w:b/>
        </w:rPr>
        <w:t>E. 8</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Staatsekretariat das ihm eingeräumte Ermessen über- beziehungsweise unterschreitet oder missbraucht und damit Bundesrecht verletzt. Das ist vorliegend, wo das SEM die massgeblichen Parameter des Einzelfalles in seine Prüfung einbezogen hat, nicht der Fall.</w:t>
      </w:r>
    </w:p>
    <w:p>
      <w:r>
        <w:rPr>
          <w:b/>
        </w:rPr>
        <w:t>E. 9.1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9.2</w:t>
      </w:r>
    </w:p>
    <w:p>
      <w:r>
        <w:t>Das SEM ist demnach zu Recht gestützt auf Art. 31a Abs. 1 Bst. b AsylG auf die Asylgesuche der Beschwerdeführenden nicht eingetreten und hat (in Anwendung von Art. 44 AsylG) ihre Überstellung nach Italien angeordnet.</w:t>
      </w:r>
    </w:p>
    <w:p>
      <w:r>
        <w:rPr>
          <w:b/>
        </w:rPr>
        <w:t>E. 10</w:t>
      </w:r>
    </w:p>
    <w:p>
      <w:r>
        <w:t>Nach dem Gesagten ist die Beschwerde abzuweisen und die Verfügung des SEM zu bestätigen.</w:t>
      </w:r>
    </w:p>
    <w:p>
      <w:r>
        <w:rPr>
          <w:b/>
        </w:rPr>
        <w:t>E. 11</w:t>
      </w:r>
    </w:p>
    <w:p>
      <w:r>
        <w:t>Bei diesem Ausgang des Verfahrens wären die Kosten dem Beschwerdeführer aufzuerlegen (Art. 63 Abs. 1 VwVG). Indessen ist das Gesuch um Gewährung der unentgeltlichen Prozessführung nach Art. 65 Abs. 1 VwVG gutzuheissen, nachdem die Begehren - aufgrund des oben Gesagten - nicht aussichtslos waren. Aufgrund der Akten ist auch von der prozessualen Bedürftigkeit der Beschwerdeführenden auszugehen,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