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E-2275/2014 vom 15. Mai 2014</w:t>
      </w:r>
    </w:p>
    <w:p>
      <w:r>
        <w:t>Bundesverwaltungsgericht, 2014-05-15, DE</w:t>
      </w:r>
    </w:p>
    <w:p>
      <w:r>
        <w:rPr>
          <w:b/>
        </w:rPr>
        <w:t xml:space="preserve">Quelle: </w:t>
      </w:r>
      <w:r>
        <w:t>https://mcp.opencaselaw.ch/entscheid/bvger_E-2275_2014</w:t>
      </w:r>
    </w:p>
    <w:p>
      <w:r>
        <w:t>FR: TAF E-2275/2014 du 15 mai 2014</w:t>
      </w:r>
    </w:p>
    <w:p>
      <w:r>
        <w:t>IT: TAF E-2275/2014 del 15 maggio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1.3</w:t>
      </w:r>
    </w:p>
    <w:p>
      <w:r>
        <w:t>Das Verfahren richtet sich nach dem VwVG, dem VGG und dem BGG, soweit das AsylG nichts anderes bestimmt (Art. 37 VGG und Art. 6 AsylG).</w:t>
      </w:r>
    </w:p>
    <w:p>
      <w:r>
        <w:rPr>
          <w:b/>
        </w:rPr>
        <w:t>E. 1.4</w:t>
      </w:r>
    </w:p>
    <w:p>
      <w:r>
        <w:t>Parteieingaben in Verfahren vor den Behörden des Bundes sind in einer Amtssprache - in der Regel Deutsch, Französisch oder Italienisch - abzufassen (Art. 70 Abs. 1 BV und Art. 33a Abs. 1 VwVG). Die Beschwerdeschrift ist vorliegend zwar nicht in einer der erwähnten Sprachen verfasst; aus verfahrensökonomischen Gründen ist die Beschwerde jedoch in der vorliegenden Form entgegenzunehmen. Der vorliegende Entscheid ergeht in deutscher Sprache (Art. 33a Abs. 2 VwVG i.V.m. Art. 37 VGG).</w:t>
      </w:r>
    </w:p>
    <w:p>
      <w:r>
        <w:rPr>
          <w:b/>
        </w:rPr>
        <w:t>E. 1.5</w:t>
      </w:r>
    </w:p>
    <w:p>
      <w:r>
        <w:t>Die Beschwerde ist frist- und nach dem Gesagten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(einschliesslich Überschreitung oder Missbrauch des Ermessens) sowie die unrichtige oder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einen Schriftenwechsel verzichtet.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5.2 Das BFM kann ein im Ausland gestelltes Asylgesuch ablehnen, wenn die asylsuchenden Personen keine Verfolgung glaubhaft machen können oder ihnen die Aufnahme in einem Drittstaat zugemutet werden kann (Art. 3, Art. 7 und Art. 52 Abs. 2 AsylG). Gemäss Art. 20 Abs. 2 AsylG bewilligt das BFM Asylsuchenden die Einreise zur Abklärung des Sachverhaltes, wenn ihnen nicht zugemutet werden kann, im Wohnsitz- oder Aufenthaltsstaat zu bleiben oder in ein anderes Land auszureisen. 5.3 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aktuelle Praxis gemäss Entscheidungen und Mitteilungen der [vormaligen] Schweizerischen Asylrekurskommission [EMARK] 1997 Nr. 15, insbesondere S. 131 ff.).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6.1 Die Vorinstanz begründet ihren Entscheid damit, die Bedrohungen durch die äthiopischen Behörden und den damaligen Krieg vermöchten zum aktuellen Zeitpunkt eine Asylgewährung bzw. eine Einreisebewilligung nicht zu begründen, zumal die Asylgründe mehr als zwanzig Jahre zurücklägen und mit der Einreise in den Sudan als beendet zu betrachten seien. Das Leben im Sudan sei gewiss nicht einfach, aber angesichts seines langjährigen Aufenthalts dort, seiner Erwerbstätigkeit und der äthiopischen Diaspora, die ihn unterstützen könne, sei nicht davon auszugehen, dass ein weiterer Aufenthalt im Sudan unzumutbar oder unmöglich sei. Ausserdem stelle eine schwierige Lebenssituation keinen Grund für eine Einreisebewilligung dar. Ferner bestehe mangels jeglicher Anknüpfungspunkte auch die geforderte Beziehungsnähe zur Schweiz nicht. Insbesondere lebten keine nahen Angehörigen in der Schweiz. 6.2 Der Beschwerdeführer setzt sich auf Beschwerdeebene mit den Erwägungen der Vorinstanz nicht auseinander. Er bekräftigt lediglich die bisherigen Vorbringen und betont dabei insbesondere die Schwierigkeiten der Lebensumstände und die allgemeinen Gefahren im Sudan. Ferner macht er neue Datumsangaben betreffend seine zweite Verhaftung (neu: März 2008 bis Juli 2008). 6.3 Der Vorinstanz ist darin zuzustimmen, dass die vorgebrachten Asylgründe betreffend seinen Heimatstaat nicht mehr aktuell sind. Ausserdem ist darauf hinzuweisen, dass Nachteile infolge Verweigerung des Militärdienstes gemäss Art. 3 Abs. 3 AsylG keinen Asylgrund darstellen. Die Furcht, im Krieg ums Leben zu kommen, welche der Beschwerdeführer als Ausreisegrund geltend macht, ist zudem in Anbetracht der fehlenden Gezieltheit dieser Verfolgungsgefahr nicht asylbeachtlich. Eine aktuelle Verfolgungsgefahr in Äthiopien hat der Beschwerdeführer dagegen nicht dargetan. Es ist deshalb nicht davon auszugehen, dass die äthiopische Regierung nach diesem grossen Zeitintervall (noch) ein Verfolgungsinteresse an ihm hätte. Angesichts seines niedrigen politischen Profils ändert an dieser Einschätzung auch sein angebliches politisches Engagement für die EDU nichts. Der Vorinstanz ist weiter auch darin beizupflichten, dass keine Gründe vorliegen, die einen weiteren Aufenthalt im Sudan unzumutbar erscheinen liessen, zumal er sich dort bereits seit 28 Jahren aufhält und er nicht dargetan hat, dass sich die Lage in jüngster Zeit erheblich verschlechtert hätte. Insbesondere ist auch keine konkrete Verfolgungsgefahr im Sudan dargetan worden. Die politisch motivierten Inhaftierungen liegen mittlerweile einige Jahre zurück. Ausserdem ist es ihm diesbezüglich nicht gelungen, widerspruchsfreie Angaben zu machen (vgl. Bst. A). Konkrete Hinweise für die Gefahr einer weiteren Verhaftung liegen nicht vor. Die blosse Möglichkeit einer künftigen Verhaftung reicht nicht aus; die Gefahr muss sich mit beträchtlicher Wahrscheinlichkeit in naher Zukunft verwirklichen. Die sexuelle Misshandlung des Sohnes stellt einen bedauerlichen Vorfall dar, bei dem sich es allerdings um Verfolgung von nichtstaatlicher Seite handelt und dem es für eine Gutheissung des Asylgesuchs überdies auch an der erforderten Aktualität fehlt. Schliesslich fehlt, wie die Vorinstanz ebenfalls zu Recht festgestellt hat, auch jegliche Beziehungsnähe zur Schweiz. Nach dem Gesagtem hat das BFM zu Recht festgestellt, dass ein Bedürfnis nach subsidiärem Schutz durch die Schweiz zu verneinen ist. Es liegt kein Ermessensmissbrauch vor.</w:t>
      </w:r>
    </w:p>
    <w:p>
      <w:r>
        <w:rPr>
          <w:b/>
        </w:rPr>
        <w:t>E. 7</w:t>
      </w:r>
    </w:p>
    <w:p>
      <w:r>
        <w:t>Aus diesen Erwägungen ergibt sich, dass die angefochtene Verfügung Bundesrecht nicht verletzt und den rechtserheblichen Sachverhalt richtig und vollständig feststellt (Art. 106 AsylG). Die Beschwerde ist demnach abzuweisen.</w:t>
      </w:r>
    </w:p>
    <w:p>
      <w:r>
        <w:rPr>
          <w:b/>
        </w:rPr>
        <w:t>E. 8</w:t>
      </w:r>
    </w:p>
    <w:p>
      <w:r>
        <w:t>Bei diesem Ausgang des Verfahrens wären die Kosten gemäss Art. 63 Abs. 1 VwVG dem Beschwerdeführer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