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E-2274/2011 vom 21. Juli 2011</w:t>
      </w:r>
    </w:p>
    <w:p>
      <w:r>
        <w:t>Bundesverwaltungsgericht, 2011-07-21, DE</w:t>
      </w:r>
    </w:p>
    <w:p>
      <w:r>
        <w:rPr>
          <w:b/>
        </w:rPr>
        <w:t xml:space="preserve">Quelle: </w:t>
      </w:r>
      <w:r>
        <w:t>https://mcp.opencaselaw.ch/entscheid/bvger_E-2274_2011</w:t>
      </w:r>
    </w:p>
    <w:p>
      <w:r>
        <w:t>FR: TAF E-2274/2011 du 21 juillet 2011</w:t>
      </w:r>
    </w:p>
    <w:p>
      <w:r>
        <w:t>IT: TAF E-2274/2011 del 21 luglio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wird, soweit die Einreisebewilligung betreffend, gutge-heissen.</w:t>
      </w:r>
    </w:p>
    <w:p>
      <w:r>
        <w:rPr>
          <w:b/>
        </w:rPr>
        <w:t>E. 2</w:t>
      </w:r>
    </w:p>
    <w:p>
      <w:r>
        <w:t>Die Verfügung des BFM vom 2. März 2011 wird aufgehoben.</w:t>
      </w:r>
    </w:p>
    <w:p>
      <w:r>
        <w:rPr>
          <w:b/>
        </w:rPr>
        <w:t>E. 3</w:t>
      </w:r>
    </w:p>
    <w:p>
      <w:r>
        <w:t>Das BFM wird angewiesen, dem Beschwerdeführer die Einreise in die Schweiz zur Durchführung des Asylverfahrens zu bewilligen.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Es wird keine Parteientschädigung zugesprochen.</w:t>
      </w:r>
    </w:p>
    <w:p>
      <w:r>
        <w:rPr>
          <w:b/>
        </w:rPr>
        <w:t>E. 6</w:t>
      </w:r>
    </w:p>
    <w:p>
      <w:r>
        <w:t>Dieses Urteil geht an den Beschwerdeführer, das BFM und schweizerische Botschaft in Ankara. Die Einzelrichterin: Die Gerichtsschreiberin: Regula Schenker Senn Anna Poschung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