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E-2270/2019 vom 27. Juni 2019</w:t>
      </w:r>
    </w:p>
    <w:p>
      <w:r>
        <w:t>Bundesverwaltungsgericht, 2019-06-27, DE</w:t>
      </w:r>
    </w:p>
    <w:p>
      <w:r>
        <w:rPr>
          <w:b/>
        </w:rPr>
        <w:t xml:space="preserve">Quelle: </w:t>
      </w:r>
      <w:r>
        <w:t>https://mcp.opencaselaw.ch/entscheid/bvger_E-2270_2019</w:t>
      </w:r>
    </w:p>
    <w:p>
      <w:r>
        <w:t>FR: TAF E-2270/2019 du 27 juin 2019</w:t>
      </w:r>
    </w:p>
    <w:p>
      <w:r>
        <w:t>IT: TAF E-2270/2019 del 27 giugno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Asyl.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Der Beschwerdeführer hat am 8. November 2018 und durch seine Rechtsvertreterin am 11. März 2019 nach dem Verfahrensstand gefragt und auf einen Erlass einer Verfügung gedrängt. Das schutzwürdige Interesse des Beschwerdeführers an der Vornahme der allenfalls verzögerten Amtshandlung ergibt sich aus der Tatsache, dass das SEM bis anhin in der Sache nicht entschieden hat.</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1.6</w:t>
      </w:r>
    </w:p>
    <w:p>
      <w:r>
        <w:t>Für das vorliegende Verfahren gilt nach der am 1. März 2019 in Kraft getretenen Änderung des AsylG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Nach Durchsicht der vorinstanzlichen Akten kommt das Bundesverwaltungsgericht zum Schluss, dass die vorliegende Beschwerde aus den nachfolgenden Gründen gutzuheissen ist:</w:t>
      </w:r>
    </w:p>
    <w:p>
      <w:r>
        <w:rPr>
          <w:b/>
        </w:rPr>
        <w:t>E. 3.2</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3.3</w:t>
      </w:r>
    </w:p>
    <w:p>
      <w:r>
        <w:t>Das Bundesverwaltungsgericht ist in Kenntnis der Umstände, welche insbesondere die Einführung des neuen Asylgesetzes im März 2019 betreffen, ebenso der nach wie vor hohen Pendenzenzahl. Es ist unvermeidbar und auch nachvollziehbar, dass gewisse Verfahren nicht innerhalb der Behandlungsfristen von aArt. 37 Abs. 2 AsylG abgeschlossen werden können, insbesondere dann, wenn sich noch Abklärungsmassnahmen aufdrängen. Vorliegend kann von einer gerechtfertigten Verfahrensverzögerung indes nicht ausgegangen werden. Der Beschwerdeführer hat am 7. November 2016 um Asyl nachgesucht und wurde am 15. November 2016 summarisch sowie am 14. Dezember 2017 ausführlich befragt respektive angehört. Mit Schreiben vom 8. November 2018 und vom 11. März 2019 erkundigte er sich nach dem aktuellen Verfahrensstand, verbunden mit dem Ersuchen um Entscheiderledigung. Zwar beantwortete die Vor-instanz diese Schreiben jeweils und bat um Verständnis. Indes erschöpften sich ihre Erklärungen in allgemeinen Ausführungen über die grosse Geschäftslast. Im Rahmen der Vernehmlassung bezüglich des vorliegenden Verfahrens hielt sie sodann fest, dass das Asylgesuch in Bearbeitung und bis Ende dieses Sommers mit einer Verfügung zu rechnen sei. Seit Einreichung des Asylgesuchs sind jedoch zwischenzeitlich mehr als zweieinhalb Jahre vergangen, ohne dass der Beschwerdeführer einen Asylentscheid erhalten hat. Im Zeitpunkt der Beschwerdeerhebung war die Vorinstanz fast eineinhalb Jahre untätig geblieben. Ihre Zusicherung, bis Ende diesen Sommer einen Entscheid gefällt zu haben, ist nicht rechtsverbindlich und kann somit nicht als Garantie angesehen werden, dass die asylrechtliche Situation des Beschwerdeführers geklärt sein wird. Eine Nichtbehandlung des Asylgesuchs während einer solch langen Zeit ist unbesehen allfälliger anderer überzeitiger Verfahren grundsätzlich zu lange. Das Beschleunigungsgebot von Art. 29 Abs. 1 BV ist somit verletzt. Die Rüge der Rechtsverzögerung erweist sich als begründet.</w:t>
      </w:r>
    </w:p>
    <w:p>
      <w:r>
        <w:rPr>
          <w:b/>
        </w:rPr>
        <w:t>E. 4</w:t>
      </w:r>
    </w:p>
    <w:p>
      <w:r>
        <w:t>Die Beschwerde ist gutzuheissen. Die Akten gehen an die Vorinstanz zurück, verbunden mit der Anweisung, das Asylgesuch des Beschwerdeführers vom 7. November 2016 beförderlich zu behandeln und rasch einer Verfügung zuzuführen.</w:t>
      </w:r>
    </w:p>
    <w:p>
      <w:r>
        <w:rPr>
          <w:b/>
        </w:rPr>
        <w:t>E. 5.1</w:t>
      </w:r>
    </w:p>
    <w:p>
      <w:r>
        <w:t>Bei diesem Ausgang des Verfahrens sind keine Verfahrenskosten aufzuerlegen (Art. 63 VwVG).</w:t>
      </w:r>
    </w:p>
    <w:p>
      <w:r>
        <w:rPr>
          <w:b/>
        </w:rPr>
        <w:t>E. 5.2</w:t>
      </w:r>
    </w:p>
    <w:p>
      <w:r>
        <w:t>Obsiegende oder teilweise 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 Die Rechtsvertreterin hat keine Kostennote zu den Akten gereicht. Der notwendige Vertretungsaufwand lässt sich aufgrund der Akten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300.- (inkl. Auslagen und allfälliger Mehrwertsteuerzuschlag) auszurichten.</w:t>
      </w:r>
    </w:p>
    <w:p>
      <w:r>
        <w:rPr>
          <w:b/>
        </w:rPr>
        <w:t>E. 5.3</w:t>
      </w:r>
    </w:p>
    <w:p>
      <w:r>
        <w:t>Die Gesuche um Gewährung der unentgeltlichen Prozessführung sowie um Bestellung einer amtlichen Rechtsbeiständin (in der Person der Rechtsvertreterin) sind mit diesem Entscheid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