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E-2270/2014 vom 28. Mai 2014</w:t>
      </w:r>
    </w:p>
    <w:p>
      <w:r>
        <w:t>Bundesverwaltungsgericht, 2014-05-28, DE</w:t>
      </w:r>
    </w:p>
    <w:p>
      <w:r>
        <w:rPr>
          <w:b/>
        </w:rPr>
        <w:t xml:space="preserve">Quelle: </w:t>
      </w:r>
      <w:r>
        <w:t>https://mcp.opencaselaw.ch/entscheid/bvger_E-2270_2014</w:t>
      </w:r>
    </w:p>
    <w:p>
      <w:r>
        <w:t>FR: TAF E-2270/2014 du 28 mai 2014</w:t>
      </w:r>
    </w:p>
    <w:p>
      <w:r>
        <w:t>IT: TAF E-2270/2014 del 28 maggio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 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Eingabe des Beschwerdeführers an das BFM vom 21. April 2014 enthält zwar keine expliziten Anträge, es geht indessen klar daraus hervor, dass der Beschwerdeführer eine neuerliche Überprüfung seiner Asylgründe möchte. Da es sich um eine sogenannte Laienbeschwerde handelt, an die keine hohen formellen Anforderungen zu stellen sind, ist auf die insoweit frist- und formgerecht eingereichte Beschwerde einzutreten (Art. 108 Abs. 1 AsylG, Art. 52 VwVG).</w:t>
      </w:r>
    </w:p>
    <w:p>
      <w:r>
        <w:rPr>
          <w:b/>
        </w:rPr>
        <w:t>E. 2</w:t>
      </w:r>
    </w:p>
    <w:p>
      <w:r>
        <w:t>Die Kognition des Bundesverwaltungsgerichts und die zulässigen Rügen bestimmen sich nach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des angefochtenen Entscheides aus, ein Gesuch werde abgelehnt, wenn von der asylsuchenden Person die Flüchtlingseigenschaft weder bewiesen noch glaubhaft gemacht werde. Der Beschwerdeführer mache geltend, er sei D._______, eritreischer Staatsbürger, geboren (...) in E._______. Abklärungen hätten jedoch ergeben, dass es sich bei ihm um A._______ handle, geboren (...). Er habe auf der deutschen und der italienischen Botschaft in Addis Abeba Visa-Anträge eingereicht, wobei er sich jeweils mit seinem eigenen Pass als äthiopischer Staatsbürger ausgewiesen habe. Auch habe er bei der Antragstellung als Geburtsort B._______ angegeben und dreimal von der italienischen Botschaft in Addis Abeba ein Schengen-Visum erhalten. Zu diesem Sachverhalt sei ihm das rechtliche Gehör gewährt worden. Seine diesbezüglichen Ausführungen seien indessen nur Ausflüchte gewesen. Entsprechend könne das Bundesamt davon ausgehen, dass der Beschwerdeführer kein eritreischer, sondern ein äthiopischer Staatsbürger sei, der unter Verwendung seines eigenen Reisepasses legal nach Europa gereist sei. Somit sei auch die geltend gemachte drohende Deportation nach Eritrea auszuschliessen. Bezüglich der vorgebrachten Ausreisegründe sei zudem festzuhalten, dass der Beschwerdeführer zu keinem Zeitpunkt in der Lage gewesen sei, diese glaubhaft darzulegen. Seine Angaben seien widersprüchlich und nicht nachvollziehbar, woran auch die eingereichten Beweismittel nichts ändern würden. Es stehe fest, dass der Beschwerdeführer die Behörden über seine Identität getäuscht habe. Mit diesem Verhalten könne er nicht glaubhaft machen, dass er des Schutzes vor Verfolgung im Sinne von Art. 3 Abs. 1 und 2 AsylG bedürfe. Das Asylgesuch werde somit gemäss Art. 31a Abs. 4 AsylG abgelehnt, was auch zur Folge habe, dass der Beschwerdeführer zur Ausreise aus der Schweiz verpflichtet sei (Art. 44 AsylG). Bezüglich des Vollzugs der Wegweisung komme das BFM zum Schluss, dass er die Behörden über seine Identität getäuscht habe, weshalb kein Grund zur Annahme allfälliger Hinweise auf die Flüchtlingseigenschaft bestehe. Der Grundsatz der Nichtrückschiebung gemäss Art. 5 Abs. 1 AsylG könne nicht angewandt werden. Es gebe keine Anhaltspunkte dafür, dass ihm im Falle einer Rückkehr in den Heimatstaat mit beachtlicher Wahrscheinlichkeit eine durch Art. 3 EMRK verbotene Straf oder Behandlung drohe. Zudem sei die Rückkehr sowohl zumutbar als auch technisch möglich sowie praktisch durchführbar.</w:t>
      </w:r>
    </w:p>
    <w:p>
      <w:r>
        <w:rPr>
          <w:b/>
        </w:rPr>
        <w:t>E. 5.2</w:t>
      </w:r>
    </w:p>
    <w:p>
      <w:r>
        <w:t>Der Beschwerdeführer setzt sich in seiner Eingabe vom 21. April 2014 mit den vorinstanzlichen Erwägungen nur ansatzweise beziehungsweise beschränkt auf seine Identität auseinander. Er behauptet, Dokumente beibringen zu können, die seine eritreische Identität beweisen würden, wofür er Zeit brauche.</w:t>
      </w:r>
    </w:p>
    <w:p>
      <w:r>
        <w:rPr>
          <w:b/>
        </w:rPr>
        <w:t>E. 6</w:t>
      </w:r>
    </w:p>
    <w:p>
      <w:r>
        <w:t>Das Gericht stützt die Erwägungen des BFM in jeder Hinsicht. Es ist offensichtlich, dass der Beschwerdeführer die schweizerischen Behörden bezüglich seiner Identität zu täuschen versucht, womit er die ihm gemäss Art. 8 AsylG und Art. 13 VwVG obliegende Mitwirkungs- und Wahrheitspflicht, auf die er im vorinstanzlichen Verfahren wiederholt und ausdrücklich hingewiesen worden ist, in schwerwiegender Weise verletzt. Die im Verfahren vor dem Bundesamt eingereichten Beweismittel sind in keiner Weise geeignet, diese Schlussfolgerung umzustossen, und es ist auch nicht davon auszugehen, dass die in Aussicht gestellten neuen Beweismittel daran etwas ändern würden. Es erübrigt sich bei dieser Sachlage, auf die Vorbringen des Beschwerdeführers in der Rechtsmitteleingabe weiter einzugehen, da sich diese ausschliesslich auf dessen Identität beziehen und zu keinem anderen Schluss als demjenigen der Vorinstanz führen. Das Bundesverwaltungsgericht stellt demnach fest, dass es dem Beschwerdeführer nicht gelungen ist, asylrechtlich relevante Verfolgungsgründe im Sinne von Art. 3 und 7 AsylG glaubhaft zu machen, weshalb das BFM die Flüchtlingseigenschaft zu Recht verneinte und das Asylgesuch ablehnte.</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2009/50 E. 9 S. 737).</w:t>
      </w:r>
    </w:p>
    <w:p>
      <w:r>
        <w:rPr>
          <w:b/>
        </w:rPr>
        <w:t>E. 8.1</w:t>
      </w:r>
    </w:p>
    <w:p>
      <w:r>
        <w:t>Ist der Vollzug der Wegweisung nicht zulässig, nicht zumutbar oder nicht möglich, regelt das Bundesamt das Anwesenheitsverhältnis nach den gesetzlichen Bestimmungen über die vorläufige Aufnahme von Ausländern (Art. 44 AsylG; Art. 83 Abs. 1 AuG [SR 142.20]). Bei der Geltendmachung von Wegweisungsvollzugshindernissen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w:t>
      </w:r>
    </w:p>
    <w:p>
      <w:r>
        <w:rPr>
          <w:b/>
        </w:rPr>
        <w:t>E. 8.2.2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dessen Staatsbürgerschaft er auch nach Meinung des Gerichts besitzt, ist demnach unter dem Aspekt von Art. 5 AsylG rechtmässig.</w:t>
      </w:r>
    </w:p>
    <w:p>
      <w:r>
        <w:rPr>
          <w:b/>
        </w:rPr>
        <w:t>E. 8.2.4</w:t>
      </w:r>
    </w:p>
    <w:p>
      <w:r>
        <w:t>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EGMR (Europäischer Gerichtshof für Menschenrechte)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Äthiopien lässt den Wegweisungsvollzug zum heutigen Zeitpunkt nicht als unzulässig erscheinen. Der Vollzug der Wegweisung ist sowohl im Sinn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AuG die vorläufige Aufnahme zu gewähren.</w:t>
      </w:r>
    </w:p>
    <w:p>
      <w:r>
        <w:rPr>
          <w:b/>
        </w:rPr>
        <w:t>E. 8.3.2</w:t>
      </w:r>
    </w:p>
    <w:p>
      <w:r>
        <w:t>Die schweizerischen Asylbehörden gehen in konstanter Praxis von einer grundsätzlichen Zumutbarkeit des Wegweisungsvollzugs nach Äthiopien aus (vgl. BVGE 2011/25 E. 8.3). In der Beschwerde werden weder individuelle Probleme geltend gemacht noch ist davon auszugehen, dass der Beschwerdeführer nach dreiundzwanzigjährigem Aufenthalt in B._______ über kein tragfähiges Beziehungsnetz verfügt, zumal es ihm auch möglich war, für seine Reise gemäss eigenen Angaben die beträchtliche Summe von (...) aufzubringen und er mehrere Halbgeschwister hat. Das Gericht geht nicht davon aus, dass er bei einer Rückkehr nach Äthiopien in eine existenzielle Notlage geraten wird. Der Vollzug der Wegweisung erweist sich damit auch als zumutbar.</w:t>
      </w:r>
    </w:p>
    <w:p>
      <w:r>
        <w:rPr>
          <w:b/>
        </w:rPr>
        <w:t>E. 8.4</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8.5</w:t>
      </w:r>
    </w:p>
    <w:p>
      <w:r>
        <w:t>Zusammenfassend hat die Vorinstanz den Wegweisungsvollzug zu Recht als zulässig, zumutbar und möglich bezeichnet. Die Anordnung einer vorläufigen Aufnahme fällt damit ausser Betracht (Art. 83 Abs. 1-4 AuG).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Der am 4. April 2014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