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E-2269/2016 vom 27. Februar 2017</w:t>
      </w:r>
    </w:p>
    <w:p>
      <w:r>
        <w:t>Bundesverwaltungsgericht, 2017-02-27, DE</w:t>
      </w:r>
    </w:p>
    <w:p>
      <w:r>
        <w:rPr>
          <w:b/>
        </w:rPr>
        <w:t xml:space="preserve">Quelle: </w:t>
      </w:r>
      <w:r>
        <w:t>https://mcp.opencaselaw.ch/entscheid/bvger_E-2269_2016</w:t>
      </w:r>
    </w:p>
    <w:p>
      <w:r>
        <w:t>FR: TAF E-2269/2016 du 27 février 2017</w:t>
      </w:r>
    </w:p>
    <w:p>
      <w:r>
        <w:t>IT: TAF E-2269/2016 del 27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Kind C._______, welches am (...) zur Welt kam, wird ebenfalls in das Asylgesuch der Beschwerdeführerin einbezogen.</w:t>
      </w:r>
    </w:p>
    <w:p>
      <w:r>
        <w:rPr>
          <w:b/>
        </w:rPr>
        <w:t>E. 4</w:t>
      </w:r>
    </w:p>
    <w:p>
      <w:r>
        <w:t>Da die Beschwerdeführenden vorläufig aufgenommen wurden, beschränkt sich das Verfahren vor dem Bundesverwaltungsgericht auf die Frage, ob das SEM zu Recht deren Flüchtlingseigenschaft verneint beziehungsweise ihre Asylgesuch abgelehnt und sie aus der Schweiz weggewiesen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6.1</w:t>
      </w:r>
    </w:p>
    <w:p>
      <w:r>
        <w:t>Aufgrund der Angaben der Beschwerdeführerin sowie der eingereichten Identitätskarte besteht - wie auch bereits das SEM festhielt - vorliegend kein Anlass, an der Staatsangehörigkeit der Beschwerdeführenden zu zweifeln. Namentlich war die Beschwerdeführerin in der Lage, detailliert Auskunft über Asmara zu geben (A31/18 S. 3 f.). Weiter konnte sie glaubhaft darlegen, dass sie in Eritrea Militärdienst leisten musste und nach der Geburt ihres Kindes nicht mehr eingerückt ist (A31/18 S. 3, 9 f.). Hingegen wird bezüglich ihrer Haft beziehungsweise der anschliessenden Freilassung in der angefochtenen Verfügung zutreffend aufgezeigt, aus welchen Gründen am Wahrheitsgehalt dieser Vorbringen Zweifel bestehen und inwieweit sich die Beschwerdeführerin diesbezüglich in den Befragungen nicht überzeugend geäussert hat. Zwar ist vorweg darauf hinzuweisen, dass es - wie in der Rechtsmitteleingabe richtig festgehalten wurde - im vorliegenden Fall im Rahmen der BzP vorrangig um die Abklärung der Zuständigkeit zur Durchführung der Asyl- und Wegweisungsverfahren der Beschwerdeführenden ging. Dennoch vermögen die (übrigen) Ausführungen der Beschwerdeführerin - aus den nachfolgend noch darzulegenden Gründen - keine Vorfluchtgründe aufzuzeigen. Aus ihren Ausführungen erschliesst sich im Einzelnen nicht, was mit ihrem Ehemann geschehen sei, nachdem die Sicherheitskräfte ihn im Juli 2013 festgenommen und inhaftiert hätten. Eigenen Angaben zufolge habe sie ihm zwei Tage lang Essen bringen können; bei ihrem dritten Besuch habe ihr die Polizei mitgeteilt, dass er sich nicht mehr dort befinde und sie sich am besten nicht mehr blicken lassen solle. In der Folge habe man sie zu Hause aufgesucht und Ende September 2013 schliesslich auch verhaftet. Obschon ihr Ehemann bereits inhaftiert gewesen sei, hätten die Sicherheitskräfte zu ihr gesagt: "Sie haben ihn nicht gefunden und dass ist eben wichtig, dass er sich wieder in ihre Hände begibt" (A31/18 S. 9). Konkretes über den Verbleib ihres Ehemanns konnte die Beschwerdeführerin mithin nicht dartun (insbesondere nicht, ob er aus der Haft geflohen ist). Ferner ist nicht nachvollziehbar, weshalb die Sicherheitskräfte sie freigelassen hätten, obwohl sie laut eigenen Angaben nicht eingewilligt habe, zurückzukehren, sollte sich ihr Ehemann nicht innert Frist stellen (A31/18 S. 12). Dabei hätten sie ihr gedroht, sie und ihr Kind einzusperren, wenn sie ihren Aufforderungen nicht entspreche. Daneben erscheint es nicht plausibel, wieso man ihr eine Frist von einer Woche hätte gewähren sollen, um den Ehemann auszuliefern oder erneut in den Militärdienst einzurücken. Weiter gab die Beschwerdeführerin an, nach der Geburt ihres Kindes auch seitens der Bezirksverwaltung drei bis vier Mal eine Aufforderung erhalten zu haben, erneut in den Militärdienst einzurücken (A31/18 S. 12 f.). Umso erstaunlicher erscheint deshalb der Umstand, dass die Sicherheitskräfte sie wieder freigelassen hätten. Im Übrigen ist dem Themenpapier der Schweizerischen Flüchtlingshilfe (SFH) zu entnehmen, dass militärdienstleistende schwangere Frauen (im hier interessierenden Zeitraum) in der Tat nach Hause geschickt worden seien (SFH, Rico Tuor, Eritrea: Wehrdienst und Desertion, Bern, 23. Februar 2009, S. 16; The Economist, National service in Eritrea Miserable and useless, 10. März 2014; United Nations Human Rights Council, Sheila B. Keetharuth, Report of the Special Rapporteur on the situation of human rights in Eritrea, 13. Mai 2014; vgl. zum Ganzen ebenso Urteil des BVGer E-6642/2006 vom 29. September 2009 E. 6.5.2 m.w.H.). Aktuellere Berichte halten zudem fest, dass Frauen über 27 Jahren, die verheiratet sind und/oder Kinder haben und/oder schwanger sind, mit grosser Wahrscheinlichkeit vom Nationaldienst befreit werden (vgl. insbes. United Kingdom [UK] Government, Home Office, Country Information and Guidance, Eritrea: National [incl. Military] Service Version 2.0e, September 2015, S. 6 f.). In Anbetracht der vorstehenden Ausführungen und selbst unter Berücksichtigung einer nicht abzustreitenden nach wie vor bestehenden behördlichen Willkür in der Einberufungspraxis ist die Wahrscheinlichkeit einer erneuten Diensteinberufung im Falle der Beschwerdeführerin gegenwärtig als gering einzustufen, zumal bei ihr auch keine negativ wirkenden Umstände (wie etwa regierungskritische Aktivitäten) hinzukommen. Aufgrund der vorliegenden Sachlage - Entbindung im Jahr [2000er Jahre] sowie Ausreise im Jahr 2013 - ist vielmehr davon auszugehen, dass sie zumindest duldungsweise dem Nationaldienst nach der Niederkunft fernbleiben konnte. Dass sie schliesslich angeben konnte, wo sich das Gefängnis F._______ befindet, vermag nicht gross zu ihren Gunsten ins Gewicht zu fallen, da dieses Gefängnis laut ihren eigenen Angaben sehr gross sei, weshalb die Haftanstalt und der Ort selber über einen gewissen Bekanntheitsgrad verfügen würden (A31/18 S. 8).</w:t>
      </w:r>
    </w:p>
    <w:p>
      <w:r>
        <w:rPr>
          <w:b/>
        </w:rPr>
        <w:t>E. 6.2</w:t>
      </w:r>
    </w:p>
    <w:p>
      <w:r>
        <w:t>Zusammenfassend ist festzuhalten, dass es den Beschwerdeführenden nicht gelungen ist, eine im Zeitpunkt ihrer Ausreise aus Eritrea bestehende oder drohende asylrechtlich relevante Gefährdung nachzuweisen oder glaubhaft zu machen. Es bleibt somit zu prüfen, ob sie wegen ihrer Ausreise aus Eritrea bei einer Rückkehr dorthin - mithin wegen subjektiver Nachfluchtgründe - befürchten müssten, ernsthaften Nachteilen im Sinne von Art. 3 AsylG ausgesetzt zu werden.</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Die Beschwerdeführerin macht geltend, sie und ihr älteres Kind hätten Eritrea illegal verlassen und seien deswegen im Falle einer Rückkehr dorthin an Leib und Leben sowie in ihrer Freiheit gefährdet.</w:t>
      </w:r>
    </w:p>
    <w:p>
      <w:r>
        <w:rPr>
          <w:b/>
        </w:rPr>
        <w:t>E. 7.2</w:t>
      </w:r>
    </w:p>
    <w:p>
      <w:r>
        <w:t>Gemäss langjähriger bisheriger Praxis der schweizerischen Asylbehörden begründete bereits eine (glaubhaft gemachte) illegale Ausreise aus Eritrea ohne weiteres die Flüchtlingseigenschaft. Das SEM verschärfte diese Praxis im Sommer 2016, wovon auch die Beschwerdeführenden betroffen waren.</w:t>
      </w:r>
    </w:p>
    <w:p>
      <w:r>
        <w:rPr>
          <w:b/>
        </w:rPr>
        <w:t>E. 7.2.1</w:t>
      </w:r>
    </w:p>
    <w:p>
      <w:r>
        <w:t>Das Bundesverwaltungsgericht befasste sich im Rahmen des (in seinen beiden Asylabteilungen kürzlich koordiniert entschiedenen) Urteils D-7898/2015 vom 30. Januar 2017 (als Referenzurteil zu publizieren) mit der Frage, ob Eritreerinnen und Eritreer, die ihr Land illegal verlassen haben, allein deswegen bei einer Rückkehr Verfolgung zu befürchten haben. Das Gericht kam dabei zum Schluss, dass sich die bisherige Praxis nicht mehr aufrechterhalten liess und vom SEM zu Recht angepasst worden war.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(a.a.O., E. 5).</w:t>
      </w:r>
    </w:p>
    <w:p>
      <w:r>
        <w:rPr>
          <w:b/>
        </w:rPr>
        <w:t>E. 7.2.2</w:t>
      </w:r>
    </w:p>
    <w:p>
      <w:r>
        <w:t>Im vorliegenden Fall sind solche zusätzlichen Gefährdungsfaktoren nicht ersichtlich. Aufgrund des oben Gesagten ist nicht anzunehmen, dass die Beschwerdeführerin nochmals in den Nationaldienst eingezogen wird; sie steht somit auch nicht im Fokus der Militärbehörden. Weitere Anknüpfungspunkte, welche sie und [erstgeborenes Kind] sowie das [in der Schweiz geborene] Kind in den Augen des eritreischen Regimes als missliebige Personen erscheinen lassen könnten beziehungsweise zu einer Schärfung des Profils und dadurch zu einer flüchtlingsrechtlich relevanten Verfolgungsgefahr führen könnten, sind nicht erkennbar. Somit bleibt festzuhalten, dass die illegale Ausreise allein keine Furcht vor einer zukünftigen flüchtlingsrechtlich relevanten Verfolgung zu begründen vermag. Die Frage der Glaubhaftigkeit der illegalen Ausreise kann mangels flüchtlingsrechtlicher Relevanz daher offenbleiben.</w:t>
      </w:r>
    </w:p>
    <w:p>
      <w:r>
        <w:rPr>
          <w:b/>
        </w:rPr>
        <w:t>E. 7.3</w:t>
      </w:r>
    </w:p>
    <w:p>
      <w:r>
        <w:t>Es ist den Beschwerdeführenden folglich nicht gelungen, eine relevante Verfolgungsgefahr im Sinne Art. 54 AsylG darzutun. Das SEM hat ihre Flüchtlingseigenschaft demnach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10. März 2016 die vorläufige Aufnahme der Beschwerdeführenden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Die Beschwerde ist demnach abzuweisen.</w:t>
      </w:r>
    </w:p>
    <w:p>
      <w:r>
        <w:rPr>
          <w:b/>
        </w:rPr>
        <w:t>E. 11</w:t>
      </w:r>
    </w:p>
    <w:p>
      <w:r>
        <w:t>Bei diesem Ausgang des Verfahrens wären die Kosten den Beschwerdeführenden aufzuerlegen (Art. 63 Abs. 1 VwVG). Nachdem das Gesuch um Gewährung der unentgeltlichen Prozessführung mit Zwischenverfügung vom 19. April 2016 gutgeheissen wurde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