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E-2252/2009 vom 18. August 2011</w:t>
      </w:r>
    </w:p>
    <w:p>
      <w:r>
        <w:t>Bundesverwaltungsgericht, 2011-08-18, FR</w:t>
      </w:r>
    </w:p>
    <w:p>
      <w:r>
        <w:rPr>
          <w:b/>
        </w:rPr>
        <w:t xml:space="preserve">Quelle: </w:t>
      </w:r>
      <w:r>
        <w:t>https://mcp.opencaselaw.ch/entscheid/bvger_E-2252_2009</w:t>
      </w:r>
    </w:p>
    <w:p>
      <w:r>
        <w:t>FR: TAF E-2252/2009 du 18 août 2011</w:t>
      </w:r>
    </w:p>
    <w:p>
      <w:r>
        <w:t>IT: TAF E-2252/2009 del 18 agosto 2011</w:t>
      </w:r>
    </w:p>
    <w:p>
      <w:pPr>
        <w:pStyle w:val="Heading2"/>
      </w:pPr>
      <w:r>
        <w:t>Regeste</w:t>
      </w:r>
    </w:p>
    <w:p>
      <w:r>
        <w:t>Asile et renvoi</w:t>
      </w:r>
    </w:p>
    <w:p>
      <w:pPr>
        <w:pStyle w:val="Heading2"/>
      </w:pPr>
      <w:r>
        <w:t>Erwägungen</w:t>
      </w:r>
    </w:p>
    <w:p>
      <w:r>
        <w:rPr>
          <w:b/>
        </w:rPr>
        <w:t>E. 1.1</w:t>
      </w:r>
    </w:p>
    <w:p>
      <w:r>
        <w:t>Le Tribunal connaît, en vertu de l'art. 31 de la loi du 17 juin 2005 sur le Tribunal administratif fédéral (LTAF, RS 173.32),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en l'absence d'une demande d'extradition déposé par l'Etat dont le requérant cherche à se protéger (art. 83 let. d ch. 1 de la loi du 17 juin 2005 sur le Tribunal fédéral [LTF, RS 173.110]), condition non réalisée en l'espèce.</w:t>
      </w:r>
    </w:p>
    <w:p>
      <w:r>
        <w:rPr>
          <w:b/>
        </w:rPr>
        <w:t>E. 1.2</w:t>
      </w:r>
    </w:p>
    <w:p>
      <w:r>
        <w:t>La recourante et son fils ont qualité pour recourir (art. 48 PA). Présenté dans la forme et les délais prescrits par la loi, le recours est recevable (art.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3.1</w:t>
      </w:r>
    </w:p>
    <w:p>
      <w:r>
        <w:t>En l'occurrence, l'ODM a observé que, à supposer vraisemblable, l'ensemble des agissements allégués par la requérante devait être imputé à des tiers, à savoir des citoyens géorgiens. La recourante n'en disconvient pas (cf. mémoire de recours [...]). Ainsi, le Tribunal constate qu'effectivement, la recourante n'a pas été victime de méfaits imputables à des agents de l'Etat géorgien (cf. décision entreprise [...]) et qu'eu égard au principe de subsidiarité, elle devrait trouver protection auprès des autorités de son pays face à une persécution de tiers. Dans le cadre de son recours, l'intéressée relève cependant qu'en Géorgie, il ne lui est pas possible de compter sur la police, celle-ci étant "totalement corrompue et viscéralement anti-russe".</w:t>
      </w:r>
    </w:p>
    <w:p>
      <w:r>
        <w:rPr>
          <w:b/>
        </w:rPr>
        <w:t>E. 4.1</w:t>
      </w:r>
    </w:p>
    <w:p>
      <w:r>
        <w:t>Le Tribunal ne saurait toutefois être convaincu, dans le cas d'espèce, par l'affirmation selon laquelle elle n'a aucune possibilité de requérir l'aide des autorités. En effet, la recourante a précisé s'être adressée à la police de son pays d'origine lors d'une précédente plainte pénale déposée contre des voisins (cf. pièce [...]). Selon ses dires, suite aux démarches des autorités géorgiennes, les actes d'intimidations dénoncés auraient cessé et elle aurait ainsi pu vivre plus ou moins tranquillement (cf. pièce [...]). Il est donc peu vraisemblable que ces mêmes autorités n'entreprennent rien dans le cadre d'une dénonciation pour viol (cf. pièce [...]). En effet, même si la recourante affirme que les forces de l'ordre ne l'auraient plus contactée après qu'elle a saisi les autorités de son pays d'origine et déposé une plainte (cf. pièce [...]), ce seul élément ne suffit pas à conclure sans autre que la recourante ne peut obtenir justice dans son pays d'origine. Il n'est ainsi pas inhabituel que des policiers ne reprennent pas contact immédiatement avec une victime d'un viol ou ne procèdent pas, dans les jours qui suivent le dépôt d'une plainte, à une arrestation. En outre, au vu de sa formation d'institutrice, de sa maîtrise de la langue géorgienne et du soutien qu'elle aurait eu tant par des tiers que par sa famille d'adoption (cf. pièce [...]), l'intéressée disposait également des connaissances suffisantes et de l'appui nécessaire pour s'adresser aux autorités supérieures, voire de surveillance, pour faire valoir ses droits. La recourante a aussi la faculté de demander l'assistance d'un mandataire professionnel ou des membres du bureau du défenseur public (cf. considérants in fine du chiffre 4.2). Compte tenu de tous ces éléments, rien ne permet de penser que les services de police n'enquêteraient pas efficacement sur les actes allégués par la requérante, ce d'autant moins que le viol est une infraction pénale passible d'une peine de détention ferme d'un maximum de quinze années d'emprisonnement en Géorgie. En outre, le respect par les autorités géorgiennes des règles impératives du droit international est dans une large mesure présumé, puisque les Etats membres du Conseil de l'Europe ont admis la Géorgie à la ratification des conventions conclues sous son égide, notamment de la Convention du 4 novembre 1950 de sauvegarde des droits de l'homme et des libertés fondamentales (CEDH, RS 0.101), entrée en vigueur pour ce pays le 20 mai 1999. On ne saurait dès lors retenir, en l'absence d'éléments objectifs contraires, que les autorités policières géorgiennes feraient fi de la situation d'une jeune mère prétendant avoir été agressée sexuellement, au mépris de l'art. 1 CEDH qui, combiné avec l'art. 3, commande de prendre des mesures propres à empêcher que des personnes ne soient soumises à des traitements inhumains ou dégradants, même administrés par des particuliers, et à permettre une protection efficace, notamment des enfants et autres personnes vulnérables. Il ne fait au contraire guère de doute que, dans les régions où il exerce son autorité, le gouvernement géorgien protège sa population, y compris celle appartenant à une ethnie minoritaire (cf. p. ex. TC Team Consult, Public security in Georgia, Crime victimisation, Fear of Crime, Fraud, Corruption &amp; Policing, Based on a nation-wide survey, with a focus on four districts of the Samegrelo Region, Tbilisi / Genève, mars 2006, ch. 4 Citizens and the police : reporting, satisfaction and expectations).</w:t>
      </w:r>
    </w:p>
    <w:p>
      <w:r>
        <w:rPr>
          <w:b/>
        </w:rPr>
        <w:t>E. 4.2</w:t>
      </w:r>
    </w:p>
    <w:p>
      <w:r>
        <w:t>Pour ce qui a trait à son appartenance à la minorité russe, il convient de relever qu'en dehors des régions abkhazes et ossètes, la Géorgie est un pays divers du point de vue ethnique, culturel, linguistique et religieux, où les minorités ethniques constituent 16.7% de la population. Elles sont réparties sur tout le territoire, mais il existe des régions où elles sont plus particulièrement concentrées. C'est notamment le cas des Russes dans la région de Tbilissi, où ils forment 3% de la population (1.5% sur l'ensemble de la Géorgie) mais 48.1% de la population géorgienne d'ethnie russe (cf. Conseil de l'Europe, Premier rapport étatique soumis par la Géorgie en application de l'art. 25 par. 1 de la Convention-cadre européenne pour la protection des minorités nationales, 1er mars 2007, doc. n° ACFC/SR(2007)001, p. 9 s. et le renvoi à l'annexe 1). A la connaissance du Tribunal, la situation des membres de l'ethnie russe à Tbilissi est stable et dépend davantage de leur inclinaison politique ou de leur connaissance de la langue géorgienne, maîtrisée par la recourante, que de leur appartenance ethnique. En outre, depuis le déclenchement du conflit de l'été 2008, le bureau du défenseur public n'a pas eu connaissance d'agressions ciblées sur la minorité russe à Tbilissi (cf. Molly Corso, Georgia : ethnic russians say, « There's no place like home », 30 avril 2009, disponible sous « http://www.eurasianet.org » [28.05.2009]). Cette ville est par ailleurs généralement saluée par la communauté internationale pour sa tolérance à l'égard des minorités nationales (cf. p. ex. : Country of return Information project, Country Sheet Georgia, novembre 2008, p. 105). Au surplus, il peut être relevé que, selon certaines études portant sur les minorités ethniques en Géorgie, la Commission européenne contre le racisme et l'intolérance (ECRI) a constaté que le degré de tolérance envers les personnes d'origine russe, abkhaze et ossète et les autres minorités ethniques reste élevé au sein de la population géorgienne, même depuis le conflit d'août 2008, et qu'elles ne sont confrontées à aucune forme particulière de discrimination ou de discours de haine de la part de la population majoritaire (cf ECRI, Rapport de l'ECRI sur la Géorgie (quatrième cycle de monitoring), 15 juin 2010, doc. no CRI(2010)17, p. 23, § 53).</w:t>
      </w:r>
    </w:p>
    <w:p>
      <w:r>
        <w:rPr>
          <w:b/>
        </w:rPr>
        <w:t>E. 4.3</w:t>
      </w:r>
    </w:p>
    <w:p>
      <w:r>
        <w:t>En définitive, en l'état actuel des choses, le Tribunal juge que la recourante et son fils ne peuvent invoquer une situation de vulnérabilité ou d'appréhension particulière qui pourraient les empêcher de requérir la protection des autorités de leur patrie. Il s'ensuit que le recours, en tant qu'il conteste le refus de l'asile, doit être rejeté.</w:t>
      </w:r>
    </w:p>
    <w:p>
      <w:r>
        <w:rPr>
          <w:b/>
        </w:rPr>
        <w:t>E. 5.1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la recourante et son fils n'ont pas rendu vraisemblable qu'en cas de retour en Géorgie,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7.3.2</w:t>
      </w:r>
    </w:p>
    <w:p>
      <w:r>
        <w:t>Certes, le 15 octobre 2008, à la suite du conflit armé du mois d'août 2008, la Cour de justice internationale (CIJ) a considéré qu'il existait, s'agissant des populations de souches géorgienne, ossète et abkhaze des régions d'Ossétie du Sud, d'Abkhazie et géorgiennes adjacentes, un risque évident que les droits en cause au titre de la convention internationale sur l'élimination de toutes les formes de discrimination raciale subissent un préjudice irréparable. Elle a dès lors ordonné des mesures conservatoires tendant, notamment, à ce que la Géorgie et la Russie s'abstiennent d'encourager, de défendre ou d'appuyer toute discrimination raciale pratiquée par une personne ou une organisation quelconque et fassent tout ce qui est en leur pouvoir, chaque fois que, et partout où, cela est possible, afin de garantir, sans distinction d'origine nationale ou ethnique, la sûreté des personnes (cf. ordonnance de la CIJ du 15 octobre 2008, doc. n° 2008/35). De même, le Commissaire aux droits de l'Homme du conseil de l'Europe, dans ses différents rapports des 8 septembre, 30 septembre, 17 novembre, 24 novembre, 16 décembre 2008 et 15 mai 2009, souligne également que la sûreté des personnes dans toutes les zones touchées par le conflit doit être améliorée. Les observateurs internationaux continuent d'ailleurs de rapporter des tensions et des provocations le long des frontières administratives et deux civils et douze policiers ont perdu la vie dans ces zones depuis le mois d'octobre 2008 (cf. Assemblée parlementaire du Conseil de l'Europe, Suites données par la Géorgie et la Russie à la Résolution 1647 [2009], doc. n° 11876, 28 avril 2009, p. 4 par. 11 ; Assemblée parlementaire du Conseil de l'Europe, Les conséquences humanitaires de la guerre entre la Géorgie et la Russie : suites données à la Résolution 1648 [2009], doc. n° 11859, 9 avril 2009, p. 2 par. 7). Ainsi, même si la situation dans ces régions reste hors du contrôle du gouvernement central, un cessez-le-feu est maintenu tant en Abkhazie qu'en Ossétie du Sud, malgré certains incidents (cf. Country Report on Human Rights Practices 2010, 2010 Human Rights Report : Georgia, US Department of State, 8 avril 2011). Cette situation est toutefois inopérante pour la recourante et son fils qui proviennent de Tbilissi et d'une région épargnée par le conflit.</w:t>
      </w:r>
    </w:p>
    <w:p>
      <w:r>
        <w:rPr>
          <w:b/>
        </w:rPr>
        <w:t>E. 7.4</w:t>
      </w:r>
    </w:p>
    <w:p>
      <w:r>
        <w:t>Dès lors, l'exécution du renvoi des recourants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En l'occurrence,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de la recourante et de son fils. A cet égard, l'autorité de céans relève que l'intéressée est jeune, au bénéfice d'une formation d'institutrice et d'une certaine expérience professionnelle. Elle n'a en outre pas allégué de problème de santé particulier. Ainsi, même si elle redoute des difficultés de réinsertion sociale, elle a des liens prépondérants avec la Géorgie, où elle a vécu la plus grande partie de sa vie et a exercé différentes activités lucratives. De plus, elle y possède encore des liens étroits avec sa mère, sa grand-mère et dispose d'un réseau social élargi qui l'a déjà soutenu avant sa venue en Suisse. Quand à l'enfant, il a est encore très jeune (onze ans) et a un âge où il peut encore s'adapter.</w:t>
      </w:r>
    </w:p>
    <w:p>
      <w:r>
        <w:rPr>
          <w:b/>
        </w:rPr>
        <w:t>E. 8.3.1</w:t>
      </w:r>
    </w:p>
    <w:p>
      <w:r>
        <w:t>Enfin, s'agissant plus particulièrement d'une personne en traitement médical en Suisse, l'exécution du renvoi ne devient inexigible au sens de l'art. 83 al. 4 LEtr, que dans la mesure où elle ne pourrait plus recevoir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 Droit aux soins, Berne 2007, p. 41 ss, spéc. p. 51 s.).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Ainsi, elle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JICRA 2003 n° 24 consid. 5b p. 157 s.), cette disposition peut trouver application.</w:t>
      </w:r>
    </w:p>
    <w:p>
      <w:r>
        <w:rPr>
          <w:b/>
        </w:rPr>
        <w:t>E. 8.3.2</w:t>
      </w:r>
    </w:p>
    <w:p>
      <w:r>
        <w:t>En l'occurrence, la recourante est en traitement depuis le (date) pour troubles anxieux, névrose et troubles d'adaptation auprès d'un médecin généraliste. Même s'ils n'ont pas été discutés plus avant en première instance, malgré la tristesse et l'angoisse déjà présentes lors des auditions, ces signes ne constituent de loin pas des troubles médicaux suffisamment graves, de nature à mettre concrètement en danger la recourante dans son pays d'origine. Sans vouloir minimiser leur importance, ils ne sont ainsi pas propres, à défaut d'une intensité suffisante (cf. p. ex. : arrêt du Tribunal administratif fédéral du 21 avril 2009, D-7683/2006, consid. 3.4.2), à la mettre concrètement en danger en cas de retour en Géorgie. Le suivi thérapeutique est d'ailleurs ambulatoire et réalisé par un médecin généraliste. La Géorgie possède en outre des médecins et des hôpitaux formés pour de tels troubles (cf. p. ex. : arrêt du Tribunal administratif fédéral du 2 avril 2009, D-3366/2006, consid. 6.7 et les références). L'intéressée peut en outre mettre à profit ses capacités fonctionnelles qui lui ont notamment permis de surpasser les difficultés inhérentes à son arrivée clandestine en Suisse et pourra recourir au soutien de ses proches restés en Géorgie. L'on ne peut dès lors, en l'état du dossier, reprocher à l'ODM de ne pas avoir examiné plus avant la situation médico-psychiatrique de la recourante, au regard de la jurisprudence stricte rappelée ci-dessus. La recourante pourra en outre s'informer auprès des autorités compétentes sur la question de l'aide au retour et de l'éventuelle prise en charge par les autorités suisses d'une partie de son suivi médical à son arrivée en Géorgie.</w:t>
      </w:r>
    </w:p>
    <w:p>
      <w:r>
        <w:rPr>
          <w:b/>
        </w:rPr>
        <w:t>E. 8.3.3</w:t>
      </w:r>
    </w:p>
    <w:p>
      <w:r>
        <w:t>En définitive, et après une pesée de tous les éléments du cas d'espèce, l'exécution du renvoi de l'intéressée et de son enfant s'avère raisonnablement exigible.</w:t>
      </w:r>
    </w:p>
    <w:p>
      <w:r>
        <w:rPr>
          <w:b/>
        </w:rPr>
        <w:t>E. 9</w:t>
      </w:r>
    </w:p>
    <w:p>
      <w:r>
        <w:t>Enfin, la recourante et son fils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(cf. art. 8 al. 4 LAsi). L'exécution du renvoi ne se heurte donc pas à des obstacles insurmontables d'ordre technique et s'avère possible au sens de l'art. 83 al. 2 LEtr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sous déduction de l'avance sur les frais de procédure présumés versée le 29 avril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