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E-2251/2016 vom 18. April 2016</w:t>
      </w:r>
    </w:p>
    <w:p>
      <w:r>
        <w:t>Bundesverwaltungsgericht, 2016-04-18, DE</w:t>
      </w:r>
    </w:p>
    <w:p>
      <w:r>
        <w:rPr>
          <w:b/>
        </w:rPr>
        <w:t xml:space="preserve">Quelle: </w:t>
      </w:r>
      <w:r>
        <w:t>https://mcp.opencaselaw.ch/entscheid/bvger_E-2251_2016</w:t>
      </w:r>
    </w:p>
    <w:p>
      <w:r>
        <w:t>FR: TAF E-2251/2016 du 18 avril 2016</w:t>
      </w:r>
    </w:p>
    <w:p>
      <w:r>
        <w:t>IT: TAF E-2251/2016 del 18 aprile 2016</w:t>
      </w:r>
    </w:p>
    <w:p>
      <w:pPr>
        <w:pStyle w:val="Heading2"/>
      </w:pPr>
      <w:r>
        <w:t>Regeste</w:t>
      </w:r>
    </w:p>
    <w:p>
      <w:r>
        <w:t>Nichteintreten auf Asylgesuch und Wegweisung (Dublin-Verfahren)</w:t>
      </w:r>
    </w:p>
    <w:p>
      <w:pPr>
        <w:pStyle w:val="Heading2"/>
      </w:pPr>
      <w:r>
        <w:t>Erwägungen</w:t>
      </w:r>
    </w:p>
    <w:p>
      <w:r>
        <w:rPr>
          <w:b/>
        </w:rPr>
        <w:t>E. 2.1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2011/9 E. 5).</w:t>
      </w:r>
    </w:p>
    <w:p>
      <w:r>
        <w:rPr>
          <w:b/>
        </w:rPr>
        <w:t>E. 2.2</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2.3</w:t>
      </w:r>
    </w:p>
    <w:p>
      <w:r>
        <w:t>Besitzt der Antragsteller ein gültiges Visum, ist der Mitgliedstaat, der das Visum erteilt hat, für die Prüfung des Antrags auf internationalen Schutz zuständig (Art. 12 Abs. 2 Dublin-III-VO). Besitzt er nur einen oder mehrere Aufenthaltstitel, die weni­ger als zwei Jahre zuvor abgelaufen sind, oder ein oder mehrere Visa, die seit weniger als sechs Monaten abgelaufen sind, aufgrund deren er in das Hoheitsgebiet eines Mitgliedstaates hat einreisen können, sind die Abs. 1-3 von Art. 12 Dublin-III-VO anwendbar, solange er das Hoheitsgebiet der Mitgliedstaaten nicht verlassen hat (Dublin al. 1 Dublin-III-VO).</w:t>
      </w:r>
    </w:p>
    <w:p>
      <w:r>
        <w:rPr>
          <w:b/>
        </w:rPr>
        <w:t>E. 2.4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Die Vorinstanz stellt in der angefochtenen Verfügung fest, die italienischen Behörden hätten dem Beschwerdeführer ein Visum erteilt und innert der festgelegten Frist zum Übernahmeersuchen nicht Stellung bezogen. Die Zuständigkeit zur Durchführung des Asyl- und Wegweisungsverfahrens liege somit bei Italien. Der Wunsch des Beschwerdeführers nach einem weiteren Verbleib in der Schweiz habe keinen Einfluss auf die Zuständigkeit für das Asyl- und Wegweisungsverfahren. Die Bestimmung des zuständigen Staates obliege alleine den beteiligten Dublin-Vertragsstaaten. Sodann würden keine Gründe für einen Selbsteintritt der Schweiz vorliegen. Die Überstellung habe bis spätestens am 28. September 2016 zu erfolgen.</w:t>
      </w:r>
    </w:p>
    <w:p>
      <w:r>
        <w:rPr>
          <w:b/>
        </w:rPr>
        <w:t>E. 3.2</w:t>
      </w:r>
    </w:p>
    <w:p>
      <w:r>
        <w:t>In der Rechtsmitteleingabe bringt der Beschwerdeführer, wie bereits anlässlich der Gewährung des rechtlichen Gehörs, nichts Konkretes gegen eine Überstellung nach Italien vor. Soweit er ausführt, als Frau gehöre er einer vulnerablen Gruppe an, liegt offensichtlich ein Versehen vor, handelt es sich bei ihm doch unbestrittenermassen um einen Mann. Weitergehend beschränkt er sich darauf, ausführlich darzulegen, aus welchen Gründen er als Tibeter nicht in die Volksrepublik China zurückkehren könne. Daraus vermag er für das vorliegende Überstellungsverfahren nach Italien jedoch nichts zu seinen Gunsten abzuleiten. Unter Hinweis auf den Bericht der Schweizerischen Flüchtlingshilfe (SFH) vom Oktober 2013 zu den Aufnahmebedingungen in Italien macht der Beschwerdeführer schliesslich sinngemäss geltend, das Asylverfahren und die Aufnahmebedingungen in Italien würden systemische Schwachstellen im Sinne von Art. 3 Abs. 2 Sätze 2 und 3 Dublin-III-VO aufweisen.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Sodann hat der Europäische Gerichtshof für Menschenrechte (EGMR) in Bezug auf Italien keine systemische Mängel an Unterstützung und Einrichtungen für Asylsuchende festgestellt (vgl. Urteil des EGMR Mohammed Hussein und andere gegen Niederlande vom 2. April 2013, 27725/10; siehe zu Italien auch: Urteil des EGMR A.S. gegen Schweiz vom 30. Juni 2015, 39350/13). Mit dem blossen Hinweis auf den Bericht der SFH legt der Beschwerdeführer nicht dar, inwiefern Italien in seinem Fall seine staatsvertraglichen Verpflichtungen missachten würde und er einer menschenunwürdigen oder erniedrigenden Behandlung ausgesetzt wäre (Art. 3 EMRK); Art. 3 Abs. 2 Satz 2 Dublin-III-VO greift nicht.</w:t>
      </w:r>
    </w:p>
    <w:p>
      <w:r>
        <w:rPr>
          <w:b/>
        </w:rPr>
        <w:t>E. 3.3</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4.1</w:t>
      </w:r>
    </w:p>
    <w:p>
      <w:r>
        <w:t>Italien ist somit für die Durchführung des Asyl- und Wegweisungsverfahrens des Beschwerdeführers gemäss der Dublin-III-VO zuständig und entsprechend verpflichtet, ihn gemäss Art. 14 Abs. 4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Italien angeordnet (vgl. Art. 32 Bst. a AsylV 1).</w:t>
      </w:r>
    </w:p>
    <w:p>
      <w:r>
        <w:rPr>
          <w:b/>
        </w:rPr>
        <w:t>E. 4.2</w:t>
      </w:r>
    </w:p>
    <w:p>
      <w:r>
        <w:t>Unter diesen Umständen sind allfällige Vollzugshindernisse nicht mehr zu prüfen, da das Fehlen von Wegweisungsvollzugshindernissen bereits Voraussetzung des Nichteintretensentscheides gemäss Art. 31a Abs. 1 Bst. b AsylG ist (BVGE 2010/45 E. 10, S. 645).</w:t>
      </w:r>
    </w:p>
    <w:p>
      <w:r>
        <w:rPr>
          <w:b/>
        </w:rPr>
        <w:t>E. 5</w:t>
      </w:r>
    </w:p>
    <w:p>
      <w:r>
        <w:t>Nach dem Gesagten ergibt sich, dass die angefochtene Verfügung Bundesrecht nicht verletzt und auch sonst nicht zu beanstanden ist (vgl. Art. 106 AsylG). Die Beschwerde ist abzuweisen. Mit dem vorliegenden Urteil ist der Antrag auf Wiederherstellung der aufschiebenden Wirkung gegenstandslos geworden.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6.2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