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E-2250/2009 vom 4. August 2010</w:t>
      </w:r>
    </w:p>
    <w:p>
      <w:r>
        <w:t>Bundesverwaltungsgericht, 2010-08-04, FR</w:t>
      </w:r>
    </w:p>
    <w:p>
      <w:r>
        <w:rPr>
          <w:b/>
        </w:rPr>
        <w:t xml:space="preserve">Quelle: </w:t>
      </w:r>
      <w:r>
        <w:t>https://mcp.opencaselaw.ch/entscheid/bvger_E-2250_2009</w:t>
      </w:r>
    </w:p>
    <w:p>
      <w:r>
        <w:t>FR: TAF E-2250/2009 du 4 août 2010</w:t>
      </w:r>
    </w:p>
    <w:p>
      <w:r>
        <w:t>IT: TAF E-2250/2009 del 4 agosto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crédibilité de ses motifs.</w:t>
      </w:r>
    </w:p>
    <w:p>
      <w:r>
        <w:rPr>
          <w:b/>
        </w:rPr>
        <w:t>E. 3.2</w:t>
      </w:r>
    </w:p>
    <w:p>
      <w:r>
        <w:t>De manière générale, son récit se caractérise en effet par une approximation et une confusion dans la description et l'explication des événements relatés, qui ne peuvent qu'en amoindrir la vraisemblance. Si les éléments de preuve déposés attestent que l'intéressé a bien été employé de la Croix-Rouge à B._______, les événements décrits, de l'avis du Tribunal, ne sont cependant pas crédibles. Ainsi, il apparaît évident que la police aurait eu soin de faire elle-même disparaître le corps d'un opposant politique dont elle était responsable du décès ; point n'était besoin de recourir aux services de la Croix-Rouge pour ce faire, avec toutes les difficultés que cela pouvait entraîner. Interrogé sur ce point, le recourant n'a fourni aucune explication convaincante (cf. audition du 17 octobre 2008, questions 96-97). Il n'a pas non plus précisé de manière claire comment il avait été en mesure, lors de la levée du corps, de reconnaître un agent de l'ANR se trouvant sur place (idem, questions 121-126) ; en effet, l'explication selon laquelle il avait parfois fréquenté les bureaux de l'ANR, par curiosité ou pour profiter de la bibliothèque, est purement fantaisiste, surtout pour une personne se présentant comme un militant éprouvé de l'Asadho. Il apparaît d'ailleurs que l'ANR n'aurait pas manifesté d'acharnement à l'interpeller : ses agents ne se seraient rendus chez le recourant, pourtant facile à identifier en raison de son emploi, que le 21 mai 2008, quinze jours après les événements, alors qu'il était providentiellement absent. De plus, ils n'auraient pas pris la peine d'attendre son retour, pas plus que le 26 mai suivant, à C._______. Le Tribunal relève en outre que l'intéressé ne paraît pas bien connaître l'Asadho, pour qui il aurait travaillé pendant dix ans : il n'a pu citer que le prénom du responsable local de B._______, mais pas le nom du président actuel ; ce dernier a cependant signé l'attestation du 9 novembre 2007 produite au stade du recours. L'engagement du recourant pour l'Asadho apparaît donc douteux, ce d'autant plus que cette attestation ne dit rien sur les fonctions précises de l'intéressé. Enfin, comme l'a retenu l'ODM, il est douteux que le recourant ait voyagé en possession d'un acte de naissance à son nom, et d'un passeport d'emprunt à un autre nom.</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le Tribunal relève que l'intéressé, comme vu plus haut, n'a pas établi la vraisemblance d'un risque concret au sens exposé ci-dessus.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En l'occurrence, en dépit des tensions prévalant en particulier dans l'est du pays, la République démocratique du Congo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(cf. JICRA 2004 n° 33 consid. 8.3 p. 237).</w:t>
      </w:r>
    </w:p>
    <w:p>
      <w:r>
        <w:rPr>
          <w:b/>
        </w:rPr>
        <w:t>E. 7.3</w:t>
      </w:r>
    </w:p>
    <w:p>
      <w:r>
        <w:t>En l'espèce, l'intéressé est né dans la région de Kinshasa et y a toujours vécu. En outre, il ne ressort du dossier aucun élément dont on pourrait inférer que l'exécution du renvoi impliquerait une mise en danger concrète du recourant. A cet égard, l'autorité de céans relève que celui-ci est dans la force de l'âge, au bénéfice d'une expérience professionnelle, dispose d'un réseau familial suffisant et n'a pas allégué de problème de santé de nature à remettre en cause le caractère exécutable du renvoi.</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