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E-2247/2019 vom 19. Juni 2019</w:t>
      </w:r>
    </w:p>
    <w:p>
      <w:r>
        <w:t>Bundesverwaltungsgericht, 2019-06-19, DE</w:t>
      </w:r>
    </w:p>
    <w:p>
      <w:r>
        <w:rPr>
          <w:b/>
        </w:rPr>
        <w:t xml:space="preserve">Quelle: </w:t>
      </w:r>
      <w:r>
        <w:t>https://mcp.opencaselaw.ch/entscheid/bvger_E-2247_2019</w:t>
      </w:r>
    </w:p>
    <w:p>
      <w:r>
        <w:t>FR: TAF E-2247/2019 du 19 juin 2019</w:t>
      </w:r>
    </w:p>
    <w:p>
      <w:r>
        <w:t>IT: TAF E-2247/2019 del 19 giugno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3 AsylG und Art. 52 Abs. 1 VwVG).</w:t>
      </w:r>
    </w:p>
    <w:p>
      <w:r>
        <w:rPr>
          <w:b/>
        </w:rPr>
        <w:t>E. 3.1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3.2</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Abs. 1 und 2 AsylG).</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w:t>
      </w:r>
    </w:p>
    <w:p>
      <w:r>
        <w:rPr>
          <w:b/>
        </w:rPr>
        <w:t>E. 5.1</w:t>
      </w:r>
    </w:p>
    <w:p>
      <w:r>
        <w:t>Der Beschwerdeführer rügt eine Verletzung des rechtlichen Gehörs. Dabei handelt es sich um eine formelle Rüge, welche vorab zu beurteilen ist, da sie allenfalls geeignet wäre,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Der Beschwerdeführer macht geltend, die Vorinstanz habe ihn nicht mit den angeblichen Widersprüchen zwischen seinen Aussagen zu seiner Liebesbeziehung mit einer jungen Frau und ihren Erkenntnissen konfrontiert und ihm keine Gelegenheiten gegeben, sich vor der Fällung ihres Entscheides dazu zu äussern. Die Vorinstanz hielt in ihrer Verfügung die Ausführungen des Beschwerdeführers zu seiner Liebesbeziehung mit einer jungen Frau und die daraus resultierenden Probleme für unglaubhaft, da sie den bekannten Lebensumständen und Verhaltensweisen von Frauen in Afghanistan widersprechen und als konstruiert erscheinen würden. Entgegen der Ansicht des Beschwerdeführers verpflichtet das rechtliche Gehör eine Behörde nicht, einer Partei die Gelegenheit einzuräumen, sich zu jedem möglichen Ergebnis, das von ihr ins Auge gefasst wird, zu äussern. Die Vorinstanz hat dem Beschwerdeführer demzufolge die beabsichtigte Begründung oder den Verfügungsentwurf nicht zur Stellungnahme zu unterbreiten (Patrick Sutter, Art. 29 N 15, in: Auer/Müller/Schindler (Hrsg.), Kommentar zum VwVG, 2. Aufl. 2019). Diesbezüglich liegt k eine Gehörsverletzung vor.</w:t>
      </w:r>
    </w:p>
    <w:p>
      <w:r>
        <w:rPr>
          <w:b/>
        </w:rPr>
        <w:t>E. 6.2</w:t>
      </w:r>
    </w:p>
    <w:p>
      <w:r>
        <w:t>Der Beschwerdeführer rügt, die Vorinstanz habe ihm zwar eine Kopie des Deckblattes des Beweismittelcouverts zugestellt, die Beweismittel seien ihm aber nicht zugestellt worden. Er habe nicht von allen Beweismitteln eine Kopie angefertigt. Seiner Rechtsvertreterin seien daher nicht alle Beweismittel bekannt. Dies sei aber eine Voraussetzung für eine wirksame Rechtsvertretung. Eine Partei hat unter anderem Anspruch auf Einsicht in ihre Eingaben an die Behörden und in alle als Beweismittel dienenden Aktenstücke (Art. 26 Abs. 1 Bst. a und b VwVG). Der Beschwerdeführer hat demnach ein Recht auf Einsicht in seine eingereichten Beweismittel. Grundsätzlich wäre es möglich, dies auf Beschwerdeebene nachzuholen. Indes leidet die Verfügung - wie in den nachfolgenden Erwägungen aufgezeigt wird - an weiteren Mängeln, die eine solch schwere Verletzung des rechtlichen Gehörs darstellen, dass eine Heilung der Verletzung des rechtlichen Gehörs im Beschwerdeverfahren ausgeschlossen ist. Die Vorinstanz ist somit anzuweisen, dem Beschwerdeführer im Rahmen der Wiederaufnahme des erstinstanzlichen Verfahrens vollständige Einsicht in seine eingereichten Beweismittel zu geben.</w:t>
      </w:r>
    </w:p>
    <w:p>
      <w:r>
        <w:rPr>
          <w:b/>
        </w:rPr>
        <w:t>E. 6.3</w:t>
      </w:r>
    </w:p>
    <w:p>
      <w:r>
        <w:t>Die Vorinstanz hielt in ihrer Verfügung als Sachverhalt fest, der Beschwerdeführer habe als Bautechniker in unsichere Provinzen reisen und dabei auch technische Geräte mitnehmen müssen, was die Reisen zusätzlich gefährlich gemacht habe. Er habe jedoch immer Glück gehabt, da ihm nichts Gravierendes passiert sei. Diese Sachverhaltsfeststellung lässt wesentliche, entscheidrelevante Sachverhaltselemente völlig ausser Acht. So hat der Beschwerdeführer mehrmals widerspruchsfrei ausgeführt, er habe für Firmen gearbeitet, die Aufträge für die afghanische Regierung ausgeführt hätten. Diese Aufträge seien jeweils von der amerikanischen Regierung finanziert worden. Als Bauingenieur habe er für die Ausführung der Projekte in unsichere Provinzen reisen und dabei Checkpoints der Taliban passieren müssen. Einmal sei auf sein Fahrzeug geschossen worden. Der rechtserhebliche Sachverhalt wurde somit unvollständig festgestellt.</w:t>
      </w:r>
    </w:p>
    <w:p>
      <w:r>
        <w:rPr>
          <w:b/>
        </w:rPr>
        <w:t>E. 6.4</w:t>
      </w:r>
    </w:p>
    <w:p>
      <w:r>
        <w:t>Die Vorinstanz hat sich bei der Begründung ihres Entscheides mit den zentralen, entscheidrelevanten Vorbringen des Beschwerdeführers auseinanderzusetzen. Dieser Begründungspflicht ist sie nicht nachgekommen. In der Verfügung führte sie lediglich aus, die Asylbegründung des Beschwerdeführers würde sich auf die kritische Sicherheitslage in Afghanistan beziehen, welche ihm insbesondere die Reisen in die Provinzen erschwert habe. Etwas Gravierendes sei ihm aber nicht passiert. Seine Vorbringen seien nicht asylrelevant, da sie vorwiegend in der allgemeinen Lage im Heimatland liegen und grosse Teile der Bevölkerung in ähnlicher Weise betreffen würden. Die Vorinstanz ging mit keinem Wort auf die Tatsache ein, dass der Beschwerdeführer für Baufirmen tätig war, deren Projekte durch die amerikanische Regierung finanziert worden sind. Ebenso wenig berücksichtigte sie die Tatsache, dass er mit Arbeitsinstrumenten durch von Taliban kontrollierte Gebiete reisen musste und sein Fahrzeug einmal beschossen wurde. Die eingereichten Beweismittel, welche seine Tätigkeit belegen, ignorierte sie gänzlich. Die ständige Rechtsprechung des Bundesverwaltungsgerichts zu den Risikogruppen in Afghanistan (vgl. u.a. Urteile des BVGer E-7205/2017 vom 27. Februar 2018; E-4258/2016 vom 20. Dezember 2017) wurde zu Unrecht ebenfalls ausser Acht gelassen. Es liegt somit eine schwere Verletzung der Begründungspflicht vor.</w:t>
      </w:r>
    </w:p>
    <w:p>
      <w:r>
        <w:rPr>
          <w:b/>
        </w:rPr>
        <w:t>E. 6.5</w:t>
      </w:r>
    </w:p>
    <w:p>
      <w:r>
        <w:t>Zusammenfassend ist festzustellen, dass die Vorinstanz den Anspruch des Beschwerdeführers auf rechtliches Gehör verletzt hat. Eine Heilung ist aufgrund der Schwere der Verletzung der Verfahrensgrundsätze vorliegend ausgeschlossen. Die Beschwerde ist daher gutzuheissen. Die Verfügung vom 9. April 2019 ist aufzuheben und die Sache ist im Sinne der Erwägungen zur vollständigen Feststellung des rechtserheblichen Sachverhalts sowie zur Gewährung des rechtlichen Gehörs und zur Neubeurteilung an die Vorinstanz zurückzuweisen. Die Vorinstanz ist insbesondere gehalten, die Vorbringen des Beschwerdeführers zu seiner Tätigkeit als Bauingenieur im Lichte der Rechtsprechung des Bundesverwaltungsgerichts zu den Risikogruppen in Afghanistan einlässlich zu prüfen.</w:t>
      </w:r>
    </w:p>
    <w:p>
      <w:r>
        <w:rPr>
          <w:b/>
        </w:rPr>
        <w:t>E. 7.1</w:t>
      </w:r>
    </w:p>
    <w:p>
      <w:r>
        <w:t>Bei diesem Ausgang des Verfahrens sind keine Kosten zu erheben (Art. 63 Abs. 1 und 2 VwVG). Damit ist das Gesuch um unentgeltliche Prozessführung gegenstandslos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 Lasten der Vorinstanz eine Parteientschädigung von insgesamt Fr. 1'500.- (inkl. Auslagen) zuzusprechen. Das Gesuch um Beiordnung seiner Rechtsvertreterin als unentgeltliche Rechtsbeiständin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