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E-2247/2009 vom 9. August 2010</w:t>
      </w:r>
    </w:p>
    <w:p>
      <w:r>
        <w:t>Bundesverwaltungsgericht, 2010-08-09, DE</w:t>
      </w:r>
    </w:p>
    <w:p>
      <w:r>
        <w:rPr>
          <w:b/>
        </w:rPr>
        <w:t xml:space="preserve">Quelle: </w:t>
      </w:r>
      <w:r>
        <w:t>https://mcp.opencaselaw.ch/entscheid/bvger_E-2247_2009</w:t>
      </w:r>
    </w:p>
    <w:p>
      <w:r>
        <w:t>FR: TAF E-2247/2009 du 9 août 2010</w:t>
      </w:r>
    </w:p>
    <w:p>
      <w:r>
        <w:t>IT: TAF E-2247/2009 del 9 agosto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in diesem Bereich endgültig (Art. 105 des Asylgesetzes vom 26. Juni 1998 [AsylG, SR 142.31]; Art. 83 Bst. d Ziff. 1 des Bundesgerichtsgesetzes vom 17. Juni 2005 [BGG, SR 173.110]).</w:t>
      </w:r>
    </w:p>
    <w:p>
      <w:r>
        <w:rPr>
          <w:b/>
        </w:rPr>
        <w:t>E. 1.2</w:t>
      </w:r>
    </w:p>
    <w:p>
      <w:r>
        <w:t>Die Beschwerden sind frist- und formgerecht eingereicht. Die Beschwerdeführer haben an den Verfahren vor der Vorinstanz teilgenommen, sind durch die angefochtenen Verfügungen besonders berührt und haben ein schutzwürdiges Interesse an deren Aufhebung beziehungsweise Änderung; sie sind daher zur Einreichung der Beschwerden legitimiert (Art. 108 AsylG sowie Art. 105 AsylG i.V.m. Art. 37 VGG und Art. 48 Abs. 1 und 52 VwVG). Auf die Beschwerden ist einzutreten.</w:t>
      </w:r>
    </w:p>
    <w:p>
      <w:r>
        <w:rPr>
          <w:b/>
        </w:rPr>
        <w:t>E. 2</w:t>
      </w:r>
    </w:p>
    <w:p>
      <w:r>
        <w:t>Angesichts des engen sachlichen und persönlichen Zusammenhangs erscheint es angezeigt über die Beschwerde betreffend Familienvereinigung und diejenige betreffend Asylgesuch aus dem Ausland in einem Urteil zu befinden.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4.3</w:t>
      </w:r>
    </w:p>
    <w:p>
      <w:r>
        <w:t>Ehegatten von Flüchtlingen und ihre minderjährigen Kinder werden als Flüchtlinge anerkannt und erhalten Asyl, sofern keine besonderen Umstände dagegen sprechen (Art. 51 Abs. 1 AsylG). Gemäss Art. 51 Abs. 2 AsylG können andere nahe Familienangehörige von in der Schweiz lebenden Flüchtlingen in das Familienasyl eingeschlossen werden, wenn besondere Gründe für die Familienvereinigung sprechen. Wurden die anspruchsberechtigten Personen nach den Absätzen 1 und 2 durch die Flucht getrennt und befinden sie sich im Ausland, so ist ihre Einreise auf Gesuch hin zu bewilligen (Art. 51 Abs. 4 AsylG).</w:t>
      </w:r>
    </w:p>
    <w:p>
      <w:r>
        <w:rPr>
          <w:b/>
        </w:rPr>
        <w:t>E. 4.4</w:t>
      </w:r>
    </w:p>
    <w:p>
      <w:r>
        <w:t>Der Prüfung eines derivativen Anspruchs auf Anerkennung als Flüchtling im Sinne von Art. 51 AsylG geht die Prüfung der originären Flüchtlingseigenschaft nach Art. 3 AsylG vor (Art. 37 der Asylverordnung 1 vom 11. August 1999 über Verfahrensfragen [AsylV 1, SR 142.311]). Im Folgenden ist deshalb zunächst über das von den Beschwerdeführerinnen 2 und 3 im Ausland gestellte Asylgesuch zu befinden.</w:t>
      </w:r>
    </w:p>
    <w:p>
      <w:r>
        <w:rPr>
          <w:b/>
        </w:rPr>
        <w:t>E. 5.1</w:t>
      </w:r>
    </w:p>
    <w:p>
      <w:r>
        <w:t>Zur Begründung seiner Verfügung vom 10. März 2010 stellte das BFM zunächst fest, aufgrund der Schilderungen der Beschwerdeführerin sowie des Umstandes, dass ihr und ihrer Tochter durch das UNHCR sowie die sudanesischen Behörden die Flüchtlingseigenschaft attestiert worden sei, sei davon auszugehen, dass sie im Heimatstaat ernstzunehmende Schwierigkeiten gehabt hätten. Indessen liege ein Ausschlussgrund gemäss Art. 52 Abs. 2 AsylG vor. Denn es könne den Beschwerdeführerinnen zugemutet werden, im Sudan um Schutz zu ersuchen. So hätten ihnen das UNHCR sowie die sudanesischen Behörden Schutz und Aufenthalt gewährt und sie würden über sudanesische Flüchtlingsausweise verfügen. Zwar seien die Lebensumstände eritreischer Flüchtlinge im Sudan schwierig, jedoch sei ein Verbleib in diesem Land nicht unzumutbar. Namentlich sei es den Beschwerdeführerinnen zuzumuten, wieder in das ihnen zugeteilte Flüchtlingslager zurückzukehren, wo die nötige Versorgung, namentlich in medizinischer Hinsicht, gewährleistet sei. Im Übrigen sei das Risiko einer Deportation nach Eritrea für im Sudan anerkannte Flüchtlinge sehr gering.</w:t>
      </w:r>
    </w:p>
    <w:p>
      <w:r>
        <w:rPr>
          <w:b/>
        </w:rPr>
        <w:t>E. 5.2</w:t>
      </w:r>
    </w:p>
    <w:p>
      <w:r>
        <w:t>Die Beschwerdeführerinnen stellten sich zur Begründung ihrer Beschwerde vom 24. März 2010 auf den Standpunkt, dass im Sudan keine hinreichende Sicherheit gewährleistet sei, da das sudanesische Regime die Menschenrechte nicht beachte. Auch in den UNHCR-Lagern sei die Sicherheit ungenügend. Ferner habe die Vorinstanz den Aspekt des Kindeswohls nicht beachtet, indem es nicht auf die spezifischen Bedürfnisse und Rechte des im Verfahren eingeschlossenen Kindes eingegangen sei. Die Trennung vom Vater sei für die Beschwerdeführerin 3 eine schwerwiegende Entbehrung. Diese Unterlassung stelle eine Verletzung der Begründungs- sowie der Untersuchungspflicht dar. Die direkt anwendbaren Bestimmungen der Kinderrechtskonvention sowie die Flüchtlingskonvention würden eine eigenständige Abklärung der flüchtlingsrechtlich relevanten Gefährdung des Kindes gebieten. Eine Heilung dieses schwerwiegenden Mangels im Beschwerdeverfahren sei nicht möglich und eine Rückweisung an die Vorinstanz würde dem Kindeswohl, namentlich dem Gebot eines raschen Verfahrens, widersprechen. Im Weiteren sei zu berücksichtigen, dass der nächste Familienangehörige, ihr Ehemann beziehungsweise Vater, in der Schweiz lebe. Zu keinem andern Staat bestehe eine vergleichbare Beziehungsnähe. Eine Schutzsuche in F._______, wo der Bruder beziehungsweise Onkel der Beschwerdeführerinnen lebe, komme nicht in Frage, da die Behörden dieses Landes die Religionsfreiheit negieren und Frauen rechtsungleich behandeln würden. Im Weiteren sei zu beachten, dass sie im Sudan über kein soziales Netz, insbesondere keine männlichen Familienmitglieder, verfügen würden, Eine reale Integrationsmöglichkeit bestehe aufgrund der schwierigen allgemeinen Lage in diesem Land nicht. Angesichts der systematischen Vergewaltigungen im Sudan würden schliesslich auch frauenspezifische Gründe für die Einreisebewilligung sprechen.</w:t>
      </w:r>
    </w:p>
    <w:p>
      <w:r>
        <w:rPr>
          <w:b/>
        </w:rPr>
        <w:t>E. 6.1.1</w:t>
      </w:r>
    </w:p>
    <w:p>
      <w:r>
        <w:t>Zunächst ist darauf hinzuweisen, dass im Rahmen des Asylverfahrens des Beschwerdeführers 1 die von diesem zur Begründung seines Asylgesuchs vorgebrachte Desertion aus dem Militärdienst vom BFM in seiner in Rechtskraft erwachsenen Verfügung vom 28. Mai 2008 aufgrund widersprüchlicher und unplausibler Schilderungen als unglaubhaft erachtet wurde. Demnach muss auch die Glaubhaftigkeit der von den Beschwerdeführerinnen geltend gemachten Reflexverfolgung nach der Ausreise ihres Ehemannes beziehungsweise Vaters in Frage gestellt werden. Jedenfalls ist aber festzustellen, dass das von der Beschwerdeführerin 2 geschilderte Vorgehen der Behörden (wiederholte Befragungen, Androhung einer Busse) mangels hinreichender Intensität nicht als ernsthafter Nachteil im Sinne von Art. 3 AsylG qualifiziert werden kann und auch keine Anhaltspunkte für eine begründete Furcht vor zukünftigen Nachteilen in asylrelevantem Ausmass vorliegen.</w:t>
      </w:r>
    </w:p>
    <w:p>
      <w:r>
        <w:rPr>
          <w:b/>
        </w:rPr>
        <w:t>E. 6.1.2</w:t>
      </w:r>
    </w:p>
    <w:p>
      <w:r>
        <w:t>Der Vollständigkeit halber ist schliesslich festzuhalten, dass die Beschwerdeführerin 2 nach eigenen Angaben bis zu ihrer Ausreise aus Eritrea keinen Militärdienst geleistet hat und auch nicht in einem konkreten Kontakt zu den Militärbehörden stand, welcher hätte erkennen lassen, dass sie hätte rekrutiert werden sollen. Sie hatte demnach während ihres Aufenthaltes im Heimatstaat nach ständiger Rechtsprechung trotz der für Männer und für Frauen bestehenden grundsätzlichen Dienstpflicht vom 18. bis zum 40. Altersjahr keine begründete Furcht vor einer Bestrafung wegen Dienstverweigerung oder Desertion (vgl. dazu EMARK 2006 Nr. 3).</w:t>
      </w:r>
    </w:p>
    <w:p>
      <w:r>
        <w:rPr>
          <w:b/>
        </w:rPr>
        <w:t>E. 6.1.3</w:t>
      </w:r>
    </w:p>
    <w:p>
      <w:r>
        <w:t>Zusammenfassend ist festzuhalten, dass es den Beschwerdeführerinnen 2 und 3 nicht gelungen ist, eine im Zeitpunkt ihrer Ausreise aus Eritrea bestehende oder drohende, asylrechtlich relevante Gefährdung nachzuweisen oder glaubhaft zu machen.</w:t>
      </w:r>
    </w:p>
    <w:p>
      <w:r>
        <w:rPr>
          <w:b/>
        </w:rPr>
        <w:t>E. 6.2</w:t>
      </w:r>
    </w:p>
    <w:p>
      <w:r>
        <w:t>Es bleibt zu prüfen, ob die Beschwerdeführerinnen durch ihre Ausreise aus dem Heimatstaat oder ihr seitheriges Verhalten bei einer Rückkehr nach Eritrea - mithin wegen subjektiver Nachfluchtgründe - befürchten müssten, ernsthaften Nachteilen im Sinne von Art. 3 AsylG ausgesetzt zu werden.</w:t>
      </w:r>
    </w:p>
    <w:p>
      <w:r>
        <w:rPr>
          <w:b/>
        </w:rPr>
        <w:t>E. 6.2.1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Solche Tatbestände der Republikflucht fanden sich insbesondere in den Strafgesetzbüchern der ehemaligen Ostblock-Staaten (vgl. WALTER STÖCKLI, Asyl, in: UEBERSAX/RUDIN/HUGI/YAR/GEISER [Hrsg.], Ausländerrecht, 2. Aufl., Basel 2009, Rz. 11.56; Handbuch zum Asyl- und Wegweisungsverfahren, Schweizerische Flüchtlingshilfe SFH [Hrsg.], Bern/Stuttgart/ Wien 2009, S. 203), aber auch heute noch beispielsweise in Art. 322 des Strafgesetzbuches der Volksrepublik China, was zur Anerkennung von illegal ausgereisten Tibeterinnen und Tibetern als Flüchtlinge führt (vgl. BVGE 2009/29).</w:t>
      </w:r>
    </w:p>
    <w:p>
      <w:r>
        <w:rPr>
          <w:b/>
        </w:rPr>
        <w:t>E. 6.2.2</w:t>
      </w:r>
    </w:p>
    <w:p>
      <w:r>
        <w:t>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2009 Country Reports on Human Rights Practices, Eritrea, 11. März 2010; UK Border Agency, Country of Origin Information Report Eritrea, 13. Oktober 2009; SFH, Eritrea, Update vom Februar 2010; UNHCR Eligibility Guidelines for Assessing the International Protection Needs of Asylum-Seekers from Eritrea, April 2009;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US$ 10'000)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(vgl. zum Ganzen: Urteil des Bundesverwaltungsgerichts D-3892/2008 vom 6. April 2010).</w:t>
      </w:r>
    </w:p>
    <w:p>
      <w:r>
        <w:rPr>
          <w:b/>
        </w:rPr>
        <w:t>E. 6.2.3</w:t>
      </w:r>
    </w:p>
    <w:p>
      <w:r>
        <w:t>Aufgrund der Akten und unter Berücksichtigung der Tatsache, dass die Beschwerdeführerin 2 im Zeitpunkt ihrer Ausreise (...)-jährig war, ist davon auszugehen, dass sie und ihre Tochter ihren Heimatstaat illegal, das heisst ohne behördliches Ausreisevisum, verlassen haben.</w:t>
      </w:r>
    </w:p>
    <w:p>
      <w:r>
        <w:rPr>
          <w:b/>
        </w:rPr>
        <w:t>E. 6.3</w:t>
      </w:r>
    </w:p>
    <w:p>
      <w:r>
        <w:t>Den Beschwerdeführerinnen 2 und 3 sind demnach subjektive Nachfluchtgründe und damit eine Gefährdung im Sinne von Art. 3 AsylG i.V.m. Art. 20 Abs. 2 und 3 AsylG zuzubilligen.</w:t>
      </w:r>
    </w:p>
    <w:p>
      <w:r>
        <w:rPr>
          <w:b/>
        </w:rPr>
        <w:t>E. 7.1</w:t>
      </w:r>
    </w:p>
    <w:p>
      <w:r>
        <w:t>Im Weiteren ist zu prüfen, ob den Beschwerdeführerinnen zugemutet werden kann, sich bei den sudanesischen Behörden um Aufnahme respektive um die Legalisierung ihres dortigen Aufenthalts zu bemühen. Der Vorhalt der möglichen Schutzsuche in einem Drittstaat bedingt eine Abwägung der Beziehungsnähe der Beschwerdeführer zum Drittstaat und zur Schweiz (vgl. EMARK 2004 Nr. 21).</w:t>
      </w:r>
    </w:p>
    <w:p>
      <w:r>
        <w:rPr>
          <w:b/>
        </w:rPr>
        <w:t>E. 7.2</w:t>
      </w:r>
    </w:p>
    <w:p>
      <w:r>
        <w:t>Die Beschwerdeführerinnen verfügen im Sudan gemäss Aktenlage über keinerlei soziales Netz und es verbindet sie mit diesem Staat auch keine besondere kulturelle oder sprachliche Nähe. Eine engere Beziehung besteht hingegen zur Schweiz, wo ihr Ehemann respektive Vaters sich seit mehreren Jahren aufhält und hier als Flüchtling anerkannt worden ist. Es erscheint bei dieser Ausgangslage nicht geboten, die Beschwerdeführerinnen gestützt auf Art. 52 Abs. 2 AsylG auf einen sich fernab der nächsten Bezugsperson entfaltenden Schutz durch die sudanesischen Behörden zu verweisen. Zu berücksichtigen ist ferner, dass der Sudan zwar die Flüchtlingskonvention unterzeichnet hat, aber in der Praxis keinen zuverlässigen Schutz vor Rückschiebung in Verfolgerstaaten gewährt und Flüchtlinge in vielfacher Hinsicht diskriminiert (vgl. U.S. Department of State, 2009 Country Reporte on Human Rights Practices, Sudan, Section 2 d, 1. März 2010). Gemäss verschiedenen Berichten ist es in der Vergangenheit auch zu Deportationen von durch das UNHCR registrierten Flüchtlingen nach Eritrea gekommen (vgl. ALEXANDRA GEISER, Schweizerische Flüchtlingshilfe [SFH], Eritrea: Deportation von eritreischen Flüchtlingen und Asylsuchenden aus dem Sudan, 24. Februar 2010, mit weiteren Hinweisen).</w:t>
      </w:r>
    </w:p>
    <w:p>
      <w:r>
        <w:rPr>
          <w:b/>
        </w:rPr>
        <w:t>E. 7.3</w:t>
      </w:r>
    </w:p>
    <w:p>
      <w:r>
        <w:t>Im Weiteren ist auch eine Schutzsuche der Beschwerdeführerinnen in F._______, wo ein Bruder der Beschwerdeführerin 2 lebt, als unmöglich und unzumutbar zu erachten. Zum einen kennt F._______ die Möglichkeit der Asylgesuchseinreichung aus dem Ausland nicht und es ist davon auszugehen, dass den Beschwerdeführerinnen mangels hinreichender Reisepapiere kein Visum für die Einreise in dieses Land gewährt würde. Ferner hat F._______ weder die Flüchtlingskonvention noch das Protokoll von 1967 unterzeichnet, weshalb die Schutzgewährung nicht als gesichert zu erachten ist (vgl. U.S. Department of State, 2009 Country Report on Human Rights Practices, F._______, Section 2 d, 11. März 2010).</w:t>
      </w:r>
    </w:p>
    <w:p>
      <w:r>
        <w:rPr>
          <w:b/>
        </w:rPr>
        <w:t>E. 7.4</w:t>
      </w:r>
    </w:p>
    <w:p>
      <w:r>
        <w:t>Angesichts der geschilderten engen Beziehung der Beschwerdeführerinnen zur Schweiz ist es demnach angezeigt, ihnen die Einreise zu ihrem mit gefestigtem Status in der Schweiz lebenden Ehemann respektive Vater baldmöglichst zu gestatten und zu ermöglichen. Dies umso mehr, als die Beschwerdeführerinnen nach Ablauf der dreijährigen Wartefrist ohnehin um Aufnahme in der Schweiz gemäss Art. 51 Abs. 4 AsylG i.V.m. Art. 85 Abs. 7 AuG ersuchen können. Dabei ist insbesondere auch auf die erforderliche Berücksichtigung des Kindeswohls der (...)-jährigen Beschwerdeführerin 3 hinzuweisen (vgl. Art. 3, 9 und 10 des Übereinkommens vom 20. November 1989 über die Rechte des Kindes [KRK, SR 0.107]).</w:t>
      </w:r>
    </w:p>
    <w:p>
      <w:r>
        <w:rPr>
          <w:b/>
        </w:rPr>
        <w:t>E. 7.5</w:t>
      </w:r>
    </w:p>
    <w:p>
      <w:r>
        <w:t>Nach dem Gesagten ist der Verbleib der Beschwerdeführerinnen im Sudan im Sinne von Art. 20 Abs. 2 AsylG entgegen der Auffassung der Vorinstanz unzumutbar, und der von ihnen benötigte Schutz vor Verfolgung (Flüchtlingsanerkennung) ist im Lichte der Gesamtumstände des Falles durch die Schweiz zu gewähren, weshalb ihnen die Einreise in die Schweiz zur Durchführung des Asylverfahrens zu bewilligen ist. Bei diesem Ergebnis kann die Frage der von den Beschwerdeführerinnen gerügten Verletzung der Begründungs- sowie der Untersuchungspflicht offengelassen werden.</w:t>
      </w:r>
    </w:p>
    <w:p>
      <w:r>
        <w:rPr>
          <w:b/>
        </w:rPr>
        <w:t>E. 8</w:t>
      </w:r>
    </w:p>
    <w:p>
      <w:r>
        <w:t>Da die Beschwerdeführerinnen bereits aufgrund ihrer eigenen Gefährdung die Voraussetzungen für eine Bewilligung der Einreise nach Art. 20 Abs. 2 und 3 AsylG erfüllen, erübrigen sich im vorliegenden Verfahren nähere Ausführungen hinsichtlich der Erfüllung der Voraussetzungen zur Zuerkennung der derivativen Flüchtlingseigenschaft sowie insbesondere der Frage der Völkerrechtskonformität der in Art. 85 Abs. 7 AuG vorgesehenen Dreijahresfrist für den Familiennachzug vorläufig aufgenommener Flüchtlinge. Diese Fragen werden allenfalls im Rahmen des in der Schweiz durchzuführenden Asylverfahrens der Beschwerdeführerinnen zu prüfen sein. Demnach erweist sich das Beschwerdeverfahren hinsichtlich der Frage der Familienzusammenführung als gegenstandslos.</w:t>
      </w:r>
    </w:p>
    <w:p>
      <w:r>
        <w:rPr>
          <w:b/>
        </w:rPr>
        <w:t>E. 9</w:t>
      </w:r>
    </w:p>
    <w:p>
      <w:r>
        <w:t>Nach dem Gesagten ist die Beschwerde vom 24. März 2010 im Sinne der vorstehenden Erwägungen gutzuheissen und die Verfügung des BFM vom 10. März 2010 aufzuheben. Das BFM ist anzuweisen, den Beschwerdeführerinnen 2 und 3 die Einreise in die Schweiz zu bewilligen, ihnen die erforderlichen Einreisepapiere auszustellen und nach deren Einreise das Verfahren im Hinblick auf die Gewährung von Asyl oder - bei einem allfälligen Vorliegen von Asylausschlussgründen - der Feststellung der Flüchtlingseigenschaft und der vorläufigen Aufnahme fortzusetzen. Die Beschwerde vom 7. April 2009 gegen die Verfügung des BFM vom 6. März 2009 betreffend das Begehren um Familienzusammenführung ist als gegenstandslos geworden abzuschreiben.</w:t>
      </w:r>
    </w:p>
    <w:p>
      <w:r>
        <w:rPr>
          <w:b/>
        </w:rPr>
        <w:t>E. 10</w:t>
      </w:r>
    </w:p>
    <w:p>
      <w:r>
        <w:t>Bei diesem Ausgang des Verfahrens sind den Beschwerdeführenden keine Kosten aufzuerlegen (vgl. Art. 63 Abs. 1 VwVG i.V.m. Art. 37 VGG). Das in der Eingabe vom 7. April 2009 gestellte Gesuch um Gewährung der unentgeltlichen Rechtspflege wird bei der beschriebenen Sachlage gegenstandslos.</w:t>
      </w:r>
    </w:p>
    <w:p>
      <w:r>
        <w:rPr>
          <w:b/>
        </w:rPr>
        <w:t>E. 11</w:t>
      </w:r>
    </w:p>
    <w:p>
      <w:r>
        <w:t>Sodann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Im Verfahren E-1894/2010 wurde seitens der Rechtsvertretung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 Grund der Akten auf pauschal Fr. 2'500.- (inklusive Auslagen) festgesetzt. Mit Ausrichtung der Parteientschädigung zu Lasten des BFM wird das vom Beschwerdeführer 1 in der Beschwerdeeingabe vom 7. April 2009 gestellte Gesuch um unentgeltliche Verbeiständung, die vom Bundesverwaltungsgericht zu vergüten wäre,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