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E-2242/2016 vom 26. April 2016</w:t>
      </w:r>
    </w:p>
    <w:p>
      <w:r>
        <w:t>Bundesverwaltungsgericht, 2016-04-26, DE</w:t>
      </w:r>
    </w:p>
    <w:p>
      <w:r>
        <w:rPr>
          <w:b/>
        </w:rPr>
        <w:t xml:space="preserve">Quelle: </w:t>
      </w:r>
      <w:r>
        <w:t>https://mcp.opencaselaw.ch/entscheid/bvger_E-2242_2016</w:t>
      </w:r>
    </w:p>
    <w:p>
      <w:r>
        <w:t>FR: TAF E-2242/2016 du 26 avril 2016</w:t>
      </w:r>
    </w:p>
    <w:p>
      <w:r>
        <w:t>IT: TAF E-2242/2016 del 26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Präzisierend ist festzuhalten, dass die Beschwerde sämtliche Formerfordernisse nach Art. 52 Abs. 1 VwVG erfüllt, da sie klare Begehren, eine Begründung (mit einem formellen und einem materiellen Teil) und die Unterschrift der Rechtsverteterin enthält. Es besteht daher kein Anlass, die Beschwerde verbessern zu lassen. Der Fristantrag ist somit abzuweisen.</w:t>
      </w:r>
    </w:p>
    <w:p>
      <w:r>
        <w:rPr>
          <w:b/>
        </w:rPr>
        <w:t>E. 1.3</w:t>
      </w:r>
    </w:p>
    <w:p>
      <w:r>
        <w:t>Ebenso abzuweisen ist der Antrag betreffend Einräumung einer 30-tägigen Frist nach Art. 110 Abs. 2 AsylG zur Beibringung von Beweismitteln aus der Türkei. Der schon auf erstinstanzlicher Stufe und auch im vorangegangenen ersten Asylverfahren rechtsvertretene Beschwerdeführer untersteht in einem Asylverfahren einer weitreichenden und ihm hinlänglich zur Kenntnis gebrachten Mitwirkungspflicht (vgl. Art. 8 AsylG). Es ist nicht ersichtlich, weshalb er die nun in Aussicht gestellten Beweismittel, welche auch nicht ansatzweise spezifiziert werden, nicht mit dem zweiten Asylgesuch oder während des erstinstanzlichen zweiten Asylverfahrens oder spätestens im Verlaufe der 30-tägigen Beschwerdefrist hätte erhältlich machen oder sich zumindest darum hätte bemühen können. Auch ist nicht erkennbar, zu welchem Thema er Beweis erbringen möchte. Die Begründung des Prozessantrags erschöpft sich in der Bemerkung, dass er mangels Beweismitteln seine Flüchtlingseigenschaft nicht habe glaubhaft machen können. Die Verneinung der Flüchtlingseigenschaft im angefochtenen Entscheid stützt sich aber nicht auf Unglaubhaftigkeitserwägungen unter dem Aspekt von Art. 7 AsylG, sondern hauptsächlich auf die Erkenntnis einer fehlenden flüchtlingsrechtlichen Beachtlichkeit der Asylvorbringen unter dem Aspekt von Art. 3 AsylG. Die (nicht spezifizierten) Beweismittel aus der Türkei lassen sich daher bereits im jetzigen Zeitpunkt antizipiert dergestalt würdigen, dass sie mit überwiegender Wahrscheinlichkeit nicht tauglich sein können, eine andere Entscheidung herbeizuführen. Der Vollständigkeit halber bleibt anzumerken, dass die vorliegende Beschwerdesache ganz offensichtlich weder einen aussergewöhnlichen Umfang noch eine besondere Komplexität aufweist, die eine Fristansetzung zur Beschwerdeergänzung im Sinne von Art. 53 VwVG rechtfertigen könnten.</w:t>
      </w:r>
    </w:p>
    <w:p>
      <w:r>
        <w:rPr>
          <w:b/>
        </w:rPr>
        <w:t>E. 1.4</w:t>
      </w:r>
    </w:p>
    <w:p>
      <w:r>
        <w:t>Zusammenfassend ist festzustellen, dass die Beschwerde formgültig vorliegt, Anspruch auf Eintreten besteht und das Beschwerdeverfahren spruchreif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im zweiten Asylgesuch geltend gemachten Vorbringen als den Anforderungen von Art. 3 AsylG an die flüchtlingsrechtliche Beachtlichkeit nicht genügend, weshalb der Beschwerdeführer die Flüchtlingseigenschaft nicht erfülle. Dabei verwies es vorab auf die im ersten Asylverfahren gewonnenen diesbezüglichen Erkenntnisse; insbesondere sei bereits damals eine Reflexverfolgung im Zusammenhang mit seinem Bruder C._______ verneint worden. Unbegründet erscheine ebenso die - im ersten Asylverfahren nirgends erwähnte - angebliche Furcht vor einer Strafverfolgung, weil der in der Schweiz als Flüchtling anerkannte Bruder C._______ mit seiner Hilfe und seinen Heimatpapieren die Türkei verlassen habe. Aus dessen antragsgemäss beigezogenen Akten N (...) gehe nämlich hervor, dass dieser die Türkei bereits im Januar 2010, mithin fast drei Jahre vor dem Beschwerdeführer, verlassen habe. Es sei nicht ersichtlich, weshalb dem Beschwerdeführer heute, sechs Jahre später, ein Nachteil drohen sollte. C._______ sei zudem damals im Besitze eines eigenen gültigen Reisepasses gewesen, den er in jener Zeit auch für mehrere Auslandreisen benützt habe, und gemäss den Akten habe er keine dem Beschwerdeführer zustehenden Ausweispapiere für die Ausreise verwendet. Auch die aktuelle Situation in der Türkei und insbesondere Tunceli sei mangels eines konkreten Bezugs zum Beschwerdeführer und angesichts dessen offensichtlich vorhandenen Niederlassungsalternativen nicht asylrelevant. Die Wegweisung sei die Regelfolge der Ablehnung des Asylgesuchs und der Vollzug der Wegweisung sei völkerrechtlich zulässig und möglich. Der Vollzug sei überdies zumutbar, da weder die aktuelle politische Situation noch andere, insbesondere individuelle Gründe gegen eine Rückkehr in die Türkei sprächen, wobei in letzterem Zusammenhang integral auf die Erkenntnisse im ersten Asylverfahren verwiesen werden könne.</w:t>
      </w:r>
    </w:p>
    <w:p>
      <w:r>
        <w:rPr>
          <w:b/>
        </w:rPr>
        <w:t>E. 5.2</w:t>
      </w:r>
    </w:p>
    <w:p>
      <w:r>
        <w:t>In der Beschwerdeschrift bekräftigt der Beschwerdeführer seine Angst, in der Türkei wegen Zugehörigkeit zu einer politisch aktiven kurdischen Familie und wegen seiner politischen Anschauungen mit ernsthaften Nachteilen im Sinne von Art. 3 AsylG konfrontiert zu werden.</w:t>
      </w:r>
    </w:p>
    <w:p>
      <w:r>
        <w:rPr>
          <w:b/>
        </w:rPr>
        <w:t>E. 6.1</w:t>
      </w:r>
    </w:p>
    <w:p>
      <w:r>
        <w:t>Vorab ist festzustellen, dass der Beschwerdeführer das zweite Asylgesuch gesetzeskonform in schriftlicher Form (vgl. Art. 111c AsylG) gestellt und darin auf die Erlangung der Flüchtlingseigenschaft und des Asyls gerichtete Verfolgungsgründe geltend gemacht hat. Diese wurden, zumal der Beschwerdeführer zwischenzeitlich die Schweiz verlassen hatte, vom SEM zutreffend im Rahmen eines zweiten Asylverfahrens einer materiellen Prüfung (inklusive der Wegweisungs- und Vollzugsvoraussetzungen) unterzogen. Die Abweisung des zweiten Asylgesuchs hat das SEM zudem konsequenterweise mit einer Gebührenerhebung gestützt auf Art. 111d AsylG verbunden.</w:t>
      </w:r>
    </w:p>
    <w:p>
      <w:r>
        <w:rPr>
          <w:b/>
        </w:rPr>
        <w:t>E. 6.2</w:t>
      </w:r>
    </w:p>
    <w:p>
      <w:r>
        <w:t>Das SEM ist mit überzeugender, gesetzes- und praxiskonformer Begründung zur zutreffenden Erkenntnis gelangt, die Verfolgungsvorbringen des Beschwerdeführers würden den Anforderungen von Art. 3 AsylG an die flüchtlingsrechtliche Beachtlichkeit nicht genügen, weshalb er die Flüchtlingseigenschaft nicht erfülle und keinen Anspruch auf Gewährung des Asyls habe. Diese Erwägungen (vgl. angefochtene Verfügung E. II) sind nicht zu beanstanden und es kann zur Vermeidung von Wiederholungen integral darauf verwiesen werden. Die betreffenden Ausführungen werden in der Beschwerde substanziell auch nicht in Kritik gezogen. Vielmehr beschränkt sich der Beschwerdeführer dort auf die Anrufung von Art. 3 AsylG und in komprimierter Weise auf die pauschale Bekräftigung seiner Befürchtungen. Eine gegenüber dem SEM andere Sichtweise lässt sich daraus nicht erkennen. Weitere Ausführungen erübrigen sich.</w:t>
      </w:r>
    </w:p>
    <w:p>
      <w:r>
        <w:rPr>
          <w:b/>
        </w:rPr>
        <w:t>E. 6.3</w:t>
      </w:r>
    </w:p>
    <w:p>
      <w:r>
        <w:t>Aufgrund des Gesagten ist festzuhalten, dass das SEM das Bestehen einer Verfolgungssituation des Beschwerdeführers und mithin dessen behauptungsgemässen Ansprüche auf Feststellung der Flüchtlingseigenschaft und auf Gewährung des Asyls zu Recht verneint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genannten Voraussetzungen sind vorliegend unter integralem Hinweis auf die Erwägungen in der angefochtenen Verfügung sowie in den erst- und zweitinstanzlichen Entscheiden des ersten Asylverfahrens offensichtlich nicht erfüllt. Die Beschwerde lässt diese vorinstanzlichen Erkenntnisse substanziell ebenfalls unbestritten. Weitere Ausführungen erübrigen sich. 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Das Gesuch um Verzicht auf die Erhebung eines Kostenvorschusses wird mit dem vorliegenden Direktentscheid in der Sache hinfällig. Jenes um Gewährung der unentgeltlichen Prozessführung (vgl. Art. 65 Abs. 1 VwVG) ist abzuweisen. Die gesetzlich erforderliche Mittellosigkeit wird nicht einmal geltend gemacht. Zudem ist die Beschwerde als aussichtslos zu bezeichnen, weshalb es auch an der weiteren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