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E-2241/2023 vom 14. April 2023</w:t>
      </w:r>
    </w:p>
    <w:p>
      <w:r>
        <w:t>Bundesverwaltungsgericht, 2023-04-14, FR</w:t>
      </w:r>
    </w:p>
    <w:p>
      <w:r>
        <w:rPr>
          <w:b/>
        </w:rPr>
        <w:t xml:space="preserve">Quelle: </w:t>
      </w:r>
      <w:r>
        <w:t>https://mcp.opencaselaw.ch/entscheid/bvger_E-2241_2023_d20230414</w:t>
      </w:r>
    </w:p>
    <w:p>
      <w:r>
        <w:t>FR: TAF E-2241/2023 du 14 avril 2023</w:t>
      </w:r>
    </w:p>
    <w:p>
      <w:r>
        <w:t>IT: TAF E-2241/2023 del 14 aprile 2023</w:t>
      </w:r>
    </w:p>
    <w:p>
      <w:pPr>
        <w:pStyle w:val="Heading2"/>
      </w:pPr>
      <w:r>
        <w:t>Regeste</w:t>
      </w:r>
    </w:p>
    <w:p>
      <w:r>
        <w:t>Ex&amp;eacute;cution du renvoi | Exécution du renvoi; décision du SEM du 14 avril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en l'espèce. Le Tribunal est donc compétent pour connaître du présent litige.</w:t>
      </w:r>
    </w:p>
    <w:p>
      <w:r>
        <w:rPr>
          <w:b/>
        </w:rPr>
        <w:t>E. 1.2</w:t>
      </w:r>
    </w:p>
    <w:p>
      <w:r>
        <w:t>L'intéressé a qualité pour recourir (art. 48 al. 1 PA). Présenté dans la forme (art. 52 al. 1 PA) et le délai prescrits par la loi, le recours est recevable.</w:t>
      </w:r>
    </w:p>
    <w:p>
      <w:r>
        <w:rPr>
          <w:b/>
        </w:rPr>
        <w:t>E. 2</w:t>
      </w:r>
    </w:p>
    <w:p>
      <w:r>
        <w:t>Dans son recours, l'intéressé indique contester la décision querellée « en ce qu'elle rejette (sa) demande d'asile et, plus particulièrement, prononce (son) renvoi de Suisse » (mémoire de recours, p. 1). Son recours ne contient toutefois aucune argumentation ni conclusion en matière d'asile. Il sied dès lors de retenir que l'intéressé n'a pas remis en question la décision précitée en tant qu'elle refuse de lui reconnaître la qualité de réfugié et rejette sa demande d'asile, de sorte que, sur ces points, elle est entrée en force. L'objet de la contestation se limite en conséquence aux seules questions du renvoi et de l'exécution de celui-ci.</w:t>
      </w:r>
    </w:p>
    <w:p>
      <w:r>
        <w:rPr>
          <w:b/>
        </w:rPr>
        <w:t>E. 3</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Il reste à déterminer si c'est à juste titre que le SEM a prononcé l'exécution du renvoi de l'intéressé vers son pays d'origine.</w:t>
      </w:r>
    </w:p>
    <w:p>
      <w:r>
        <w:rPr>
          <w:b/>
        </w:rPr>
        <w:t>E. 4.2</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Comme relevé, l'intéressé fait valoir dans son recours que l'exécution de son renvoi ne serait pas raisonnablement exigible pour des motifs médicaux.</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5.3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 cet égard, il est relevé que ce pays a été désigné par le Conseil fédéral comme Etat sûr (« safe country »), avec effet au 1er octobre 2019.</w:t>
      </w:r>
    </w:p>
    <w:p>
      <w:r>
        <w:rPr>
          <w:b/>
        </w:rPr>
        <w:t>E. 5.4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5.5</w:t>
      </w:r>
    </w:p>
    <w:p>
      <w:r>
        <w:t>En l'espèce, l'intéressé est manifestement atteint de troubles nécessitant, pour certains, une prise en charge médicale (cf. supra, let. C et E). Cela dit, comme l'a relevé le SEM, rien n'indique, sur la base des rapports médicaux, que des mesures urgentes doivent être prises, l'état de santé du recourant apparaissant stable, quoi qu'il en dise.</w:t>
      </w:r>
    </w:p>
    <w:p>
      <w:r>
        <w:rPr>
          <w:b/>
        </w:rPr>
        <w:t>E. 5.6</w:t>
      </w:r>
    </w:p>
    <w:p>
      <w:r>
        <w:t>En outre, comme le Tribunal a déjà eu l'occasion de le constater à maintes reprises, notamment dans des cas de figure similaires au cas d'espèce (cf. notamment arrêts du Tribunal E-3750/2022 du 25 janvier 2023 consid. 5.4.2 ; E-1138/2018 du 13 juillet 2021 consid. 7.4, E-1599/2021 du 27 avril 2021 consid. 9.6 ; E-5791/2020 du 16 mars 2021 consid. 4.5 ; E-100/2021 du 15 janvier 2021 consid. 6.6 ; E-1693/2020 du 17 décembre 2020 consid. 4.5), le système de santé en Géorgie a connu une importante restructuration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arrêts du Tribunal E-100/2021 précité consid. 6.6 ; D-4492/2020 du 2 octobre 2020 p. 8 et réf. cit.). Par ailleurs, plusieurs organisations non gouvernementales (ONG), dont le champ d'action concerne précisément l'accompagnement et le soutien des personnes souffrant de maladies psychiques, sont actives en Géorgie (cf. arrêts du Tribunal E-100/2021 précité consid. 6.6 et réf. cit. ; E-3115/2020 du 30 novembre 2020 et réf. cit.). En outre, la majeure partie des médicaments courants sont disponibles, notamment dans des réseaux de pharmacies (cf. arrêts du Tribunal E-340/2019 précité consid. 5.4 et D-2325/2015 du 20 avril 2016 consid. 6.3-6.5 et réf. cit.).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https://www.sem.admin.ch/dam/data/sem/internationales/herkunftslaender/europa-gus/geo/GEO-reform-gesundheitswesen-d.pdf, consulté le 27 avril 2023 ; cf. également arrêt E-1693/2020 précité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 disponibles en Géorgie ne soient pas identiques, voire pas du niveau de celles dont il bénéficie en Suisse, n'est pas décisif en la matière.</w:t>
      </w:r>
    </w:p>
    <w:p>
      <w:r>
        <w:rPr>
          <w:b/>
        </w:rPr>
        <w:t>E. 5.7</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précité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ll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traité en Géorgie, notamment pour son hépatite et sa dépendance aux opiacés, précisant que les frais du traitement médical avaient été pris en charge par l'Etat géorgien (cf. procès-verbal de l'audition sur les motifs d'asile, R108 à 111).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5.8</w:t>
      </w:r>
    </w:p>
    <w:p>
      <w:r>
        <w:t>En outre, le dossier ne comporte aucun élément susceptible d'établir qu'il présenterait une incapacité de travail en raison de ses affections. Ainsi, une fois les premières difficultés surmontées et le suivi de ses affections mis en place, le recourant demeurera capable de se réinsérer sur le marché du travail. Il est à cet égard relevé que l'intéressé a indiqué avoir travaillé en Géorgie comme entraîneur (...) ainsi que dans l'agriculture, sur le domaine familial, jusqu'à son départ du pays (cf. procès-verbal d'audition sur les motifs d'asile, R35). Quant à ses proches demeurés en Géorgie (cf. ibidem, R45 ss), soit en particulier sa mère (avec qui il vivait à B._______ et à qui il aurait reversé une partie de son revenu), ses deux frères et sa soeur, même à admettre qu'ils vivent modestement, rien n'indique qu'ils ne seront pas en mesure de l'accueillir, ne serait-ce que provisoirement, et de lui apporter un soutien financier complémentaire afin de couvrir, si nécessaire, la part des frais médicaux qui resterait à sa charge.</w:t>
      </w:r>
    </w:p>
    <w:p>
      <w:r>
        <w:rPr>
          <w:b/>
        </w:rPr>
        <w:t>E. 5.9</w:t>
      </w:r>
    </w:p>
    <w:p>
      <w:r>
        <w:t>Dans ce contexte, force est d'admettre que les soins essentiels nécessités par les problèmes de santé de l'intéressé - tels qu'allégués lors de ses auditions et attestés par divers documents déposés en cause - sont disponibles en Géorgie et accessibles au recourant. Celui-ci pourra notamment, comme exposé ci-avant, bénéficier d'un traitement pour son hépatite C et ses problèmes de dépendance. Il en va de même des troubles d'ordre psychique dont il paraît souffrir. Il est rappelé que ceux-ci seraient liés, d'une part, à ses problèmes somatiques, et, d'autre part, à des événements survenus en Russie, de sorte qu'un renvoi en Géorgie ne saurait en soit impliquer un risque de retraumatisation ou, plus largement, de péjoration de l'état de santé psychique de l'intéressé.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w:t>
      </w:r>
    </w:p>
    <w:p>
      <w:r>
        <w:rPr>
          <w:b/>
        </w:rPr>
        <w:t>E. 5.10</w:t>
      </w:r>
    </w:p>
    <w:p>
      <w:r>
        <w:t>Par conséquent, l'exécution du renvoi doit être considérée comme raisonnablement exigible (cf. art. 83 al. 4 LEI a contrario).</w:t>
      </w:r>
    </w:p>
    <w:p>
      <w:r>
        <w:rPr>
          <w:b/>
        </w:rPr>
        <w:t>E. 6</w:t>
      </w:r>
    </w:p>
    <w:p>
      <w:r>
        <w:t>L'intéressé n'invoque pas que l'exécution de son renvoi serait illicite, au regard de l'art. 83 al. 3 LEI. Cela dit, il sied de constater, au vu de ce qui précède, qu'il n'existe in casu aucun faisceau d'indices concrets et convergents permettant d'inférer qu'il serait, en cas de retour en Géorgie, exposé à un risque réel, fondé sur des motifs sérieux et avérés, de se voir infliger un ou des traitements contraires à l'art. 3 de la Convention du 4 novembre 1950 de sauvegarde des droits de l'homme et des libertés fondamentales (CEDH, RS 0.101). Comme l'a relevé le SEM, rien n'indique que l'homme avec qui il aurait eu une altercation en été 2021 représente un danger sérieux pour lui en cas de retour en Géorgie. Il sied notamment de relever que le recourant y aurait encore vécu environ six mois entre cette altercation et son départ du pays, sans rencontrer de problèmes avec cet homme, ni même, apparemment avoir eu le moindre contact avec lui. A cela s'ajoute que sa situation médicale n'est pas marquée par des considérations humanitaires impérieuses au sens de la jurisprudence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en tant qu'elle lui déniait la qualité de réfugié et rejetait sa demande d'asile. Partant, l'exécution de son renvoi s'avère également licite.</w:t>
      </w:r>
    </w:p>
    <w:p>
      <w:r>
        <w:rPr>
          <w:b/>
        </w:rPr>
        <w:t>E. 7</w:t>
      </w:r>
    </w:p>
    <w:p>
      <w:r>
        <w:t>Enfin, le recourant est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w:t>
      </w:r>
    </w:p>
    <w:p>
      <w:r>
        <w:rPr>
          <w:b/>
        </w:rPr>
        <w:t>E. 8.1</w:t>
      </w:r>
    </w:p>
    <w:p>
      <w:r>
        <w:t>Cela étant, l'exécution du renvoi doit être déclarée conforme aux dispositions légales.</w:t>
      </w:r>
    </w:p>
    <w:p>
      <w:r>
        <w:rPr>
          <w:b/>
        </w:rPr>
        <w:t>E. 8.2</w:t>
      </w:r>
    </w:p>
    <w:p>
      <w:r>
        <w:t>Il s'ensuit que le recours, en tant qu'il conteste l'exécution du renvoi, doit être rejeté.</w:t>
      </w:r>
    </w:p>
    <w:p>
      <w:r>
        <w:rPr>
          <w:b/>
        </w:rPr>
        <w:t>E. 8.3</w:t>
      </w:r>
    </w:p>
    <w:p>
      <w:r>
        <w:t>Au vu de ce qui précède, le SEM a en outre statué en étant nanti des informations nécessaires, de sorte que la conclusion tendant à l'annulation de la décision querellée et au renvoi de la cause pour instruction complémentaire doit également être rejetée.</w:t>
      </w:r>
    </w:p>
    <w:p>
      <w:r>
        <w:rPr>
          <w:b/>
        </w:rPr>
        <w:t>E. 8.4</w:t>
      </w:r>
    </w:p>
    <w:p>
      <w:r>
        <w:t>S'avérant manifestement infondé, le recours est rejeté dans une procédure à juge unique, avec l'approbation d'un second juge (cf. art. 111 let. e LAsi).</w:t>
      </w:r>
    </w:p>
    <w:p>
      <w:r>
        <w:rPr>
          <w:b/>
        </w:rPr>
        <w:t>E. 8.5</w:t>
      </w:r>
    </w:p>
    <w:p>
      <w:r>
        <w:t>Il est dès lors renoncé à un échange d'écritures, le présent arrêt n'étant motivé que sommairement (cf. art. 111a al. 1 et 2 LAsi).</w:t>
      </w:r>
    </w:p>
    <w:p>
      <w:r>
        <w:rPr>
          <w:b/>
        </w:rPr>
        <w:t>E. 9.1</w:t>
      </w:r>
    </w:p>
    <w:p>
      <w:r>
        <w:t>Dans la mesure où il est statué immédiatement sur le fond, la demande de dispense de paiement d'une avance de frais est sans objet.</w:t>
      </w:r>
    </w:p>
    <w:p>
      <w:r>
        <w:rPr>
          <w:b/>
        </w:rPr>
        <w:t>E. 9.2</w:t>
      </w:r>
    </w:p>
    <w:p>
      <w:r>
        <w:t>Les conclusions du recours étant d'emblée vouées à l'échec, la demande d'assistance judiciaire partielle est rejetée (cf. art. 65 al. 1 PA).</w:t>
      </w:r>
    </w:p>
    <w:p>
      <w:r>
        <w:rPr>
          <w:b/>
        </w:rPr>
        <w:t>E. 9.3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r>
        <w:rPr>
          <w:b/>
        </w:rPr>
        <w:t>E. 15</w:t>
      </w:r>
    </w:p>
    <w:p>
      <w:r>
        <w:t>ans, un nodule mou à côté de la colonne vertébrale lombaire. Enfin, il a fait état d’une perte de cinq kilogrammes en un mois et demi et d’une sudation nocturne importante, depuis deux mois. Selon le rapport médical du 13 mars 2023, le pronostic somatique est, dans l’ensemble, réservé ou défavorable sans traitement, avec notamment un risque de complications neurologiques et/ou vasculaires irréversibles en lien avec la (probable) syphilis de l’intéressé ; il est bon en cas de poursuite des traitements. Aucun pronostic n’est cependant émis s’agissant de la prise en charge de la dépendance aux opiacés.</w:t>
      </w:r>
    </w:p>
    <w:p>
      <w:r>
        <w:t>E-2241/2023 Page 4 Sur le plan psychiatrique, l’intéressé semble présenter des symptômes anxio-dépressifs, en lien avec ses problèmes somatiques, et un probable état de stress post-traumatique suite à des événements survenus en Russie. En Suisse, il a reçu un traitement médicamenteux par sertraline (antidépresseur) et quétiapine (neuroleptique) qui a, selon lui, amélioré son état clinique. Une nouvelle consultation est prévue le 16 juin 2023 (cf. rapport médical du 24 mars 2023). E. Par décision du 14 avril 2023 (ci-après : la décision querellée), notifiée le</w:t>
      </w:r>
    </w:p>
    <w:p>
      <w:r>
        <w:rPr>
          <w:b/>
        </w:rPr>
        <w:t>E. 17</w:t>
      </w:r>
    </w:p>
    <w:p>
      <w:r>
        <w:t>décembre 2020 consid. 4.5), le système de santé en Géorgie a connu une importante restructuration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arrêts du Tribunal E-100/2021 précité consid. 6.6 ; D-4492/2020 du 2 octobre 2020 p. 8 et réf. cit.). Par ailleurs, plusieurs organisations non gouvernementales (ONG), dont le champ d'action concerne précisément l'accompagnement et le soutien des personnes souffrant de maladies psychiques, sont actives en Géorgie (cf. arrêts du Tribunal E-100/2021 précité consid. 6.6 et réf. cit. ; E-3115/2020 du 30 novembre 2020 et réf. cit.). En outre, la majeure partie des médicaments courants sont disponibles, notamment dans des réseaux de pharmacies (cf. arrêts du Tribunal E-340/2019 précité consid. 5.4 et D- 2325/2015 du 20 avril 2016 consid. 6.3-6.5 et réf. cit.).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 nder/europa-gus/geo/GEO-reform-gesundheitswesen-d.pdf, consulté le</w:t>
      </w:r>
    </w:p>
    <w:p>
      <w:r>
        <w:t>E-2241/2023 Page 9 27 avril 2023 ; cf. également arrêt E-1693/2020 précité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 disponibles en Géorgie ne soient pas identiques, voire pas du niveau de celles dont il bénéficie en Suisse, n’est pas décisif en la matière. 5.7 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précité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w:t>
      </w:r>
    </w:p>
    <w:p>
      <w:r>
        <w:t>E-2241/2023 Page 10 d’entreprendre des démarches dans son pays d’origine afin d’obtenir une couverture sociale ou étatique des coûts afférents à sa prise en charge médicale qui ne seraient, le cas échéant, pas pris en charge par l’UHC. ll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traité en Géorgie, notamment pour son hépatite et sa dépendance aux opiacés, précisant que les frais du traitement médical avaient été pris en charge par l’Etat géorgien (cf. procès-verbal de l’audition sur les motifs d’asile, R108 à 111). A cela s’ajoute que l’intéressé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5.8 En outre, le dossier ne comporte aucun élément susceptible d’établir qu’il présenterait une incapacité de travail en raison de ses affections. Ainsi, une fois les premières difficultés surmontées et le suivi de ses affections mis en place, le recourant demeurera capable de se réinsérer sur le marché du travail. Il est à cet égard relevé que l’intéressé a indiqué avoir travaillé en Géorgie comme entraîneur (…) ainsi que dans l’agriculture, sur le domaine familial, jusqu’à son départ du pays (cf. procès- verbal d’audition sur les motifs d’asile, R35). Quant à ses proches demeurés en Géorgie (cf. ibidem, R45 ss), soit en particulier sa mère (avec qui il vivait à B._______ et à qui il aurait reversé une partie de son revenu), ses deux frères et sa sœur, même à admettre qu’ils vivent modestement, rien n’indique qu’ils ne seront pas en mesure de l’accueillir, ne serait-ce que provisoirement, et de lui apporter un soutien financier complémentaire afin de couvrir, si nécessaire, la part des frais médicaux qui resterait à sa charge. 5.9 Dans ce contexte, force est d’admettre que les soins essentiels nécessités par les problèmes de santé de l’intéressé – tels qu’allégués lors</w:t>
      </w:r>
    </w:p>
    <w:p>
      <w:r>
        <w:t>E-2241/2023 Page 11 de ses auditions et attestés par divers documents déposés en cause – sont disponibles en Géorgie et accessibles au recourant. Celui-ci pourra notamment, comme exposé ci-avant, bénéficier d’un traitement pour son hépatite C et ses problèmes de dépendance. Il en va de même des troubles d’ordre psychique dont il paraît souffrir. Il est rappelé que ceux-ci seraient liés, d’une part, à ses problèmes somatiques, et, d’autre part, à des événements survenus en Russie, de sorte qu’un renvoi en Géorgie ne saurait en soit impliquer un risque de retraumatisation ou, plus largement, de péjoration de l’état de santé psychique de l’intéressé.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 5.10 Par conséquent, l’exécution du renvoi doit être considérée comme raisonnablement exigible (cf. art. 83 al. 4 LEI a contrario). 6. L’intéressé n’invoque pas que l'exécution de son renvoi serait illicite, au regard de l’art. 83 al. 3 LEI. Cela dit, il sied de constater, au vu de ce qui précède, qu’il n’existe in casu aucun faisceau d’indices concrets et convergents permettant d’inférer qu’il serait, en cas de retour en Géorgie, exposé à un risque réel, fondé sur des motifs sérieux et avérés, de se voir infliger un ou des traitements contraires à l’art. 3 de la Convention du 4 novembre 1950 de sauvegarde des droits de l’homme et des libertés fondamentales (CEDH, RS 0.101). Comme l’a relevé le SEM, rien n’indique que l’homme avec qui il aurait eu une altercation en été 2021 représente un danger sérieux pour lui en cas de retour en Géorgie. Il sied notamment de relever que le recourant y aurait encore vécu environ six mois entre cette altercation et son départ du pays, sans rencontrer de problèmes avec cet homme, ni même, apparemment avoir eu le moindre contact avec lui. A cela s’ajoute que sa situation médicale n’est pas marquée par des considérations humanitaires impérieuses au sens de la jurisprudence</w:t>
      </w:r>
    </w:p>
    <w:p>
      <w:r>
        <w:t>E-2241/2023 Page 12 européenne (cf. arrêt de la Cour européenne des droits de l’homme Paposhvili contre Belgique du 13 décembre 2016, Grande Chambre, requête no 41738/10, § 183). Par ailleurs, l’exécution du renvoi ne contrevient pas, en l’espèce, au principe de non-refoulement de l’art. 5 LAsi, le recourant n’ayant, comme déjà dit, pas contesté la décision en tant qu’elle lui déniait la qualité de réfugié et rejetait sa demande d’asile. Partant, l'exécution de son renvoi s'avère également licite. 7. Enfin, le recourant est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et ATAF 2008/34 consid. 12). 8. 8.1 Cela étant, l'exécution du renvoi doit être déclarée conforme aux dispositions légales. 8.2 Il s'ensuit que le recours, en tant qu'il conteste l'exécution du renvoi, doit être rejeté. 8.3 Au vu de ce qui précède, le SEM a en outre statué en étant nanti des informations nécessaires, de sorte que la conclusion tendant à l’annulation de la décision querellée et au renvoi de la cause pour instruction complémentaire doit également être rejetée. 8.4 S'avérant manifestement infondé, le recours est rejeté dans une procédure à juge unique, avec l’approbation d'un second juge (cf. art. 111 let. e LAsi). 8.5 Il est dès lors renoncé à un échange d'écritures, le présent arrêt n'étant motivé que sommairement (cf. art. 111a al. 1 et 2 LAsi). 9. 9.1 Dans la mesure où il est statué immédiatement sur le fond, la demande de dispense de paiement d’une avance de frais est sans objet.</w:t>
      </w:r>
    </w:p>
    <w:p>
      <w:r>
        <w:t>E-2241/2023 Page 13 9.2 Les conclusions du recours étant d’emblée vouées à l’échec, la demande d’assistance judiciaire partielle est rejetée (cf. art. 65 al. 1 PA). 9.3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E-2241/2023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