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E-2241/2021 vom 30. Juni 2021</w:t>
      </w:r>
    </w:p>
    <w:p>
      <w:r>
        <w:t>Bundesverwaltungsgericht, 2021-06-30, DE</w:t>
      </w:r>
    </w:p>
    <w:p>
      <w:r>
        <w:rPr>
          <w:b/>
        </w:rPr>
        <w:t xml:space="preserve">Quelle: </w:t>
      </w:r>
      <w:r>
        <w:t>https://mcp.opencaselaw.ch/entscheid/bvger_E-2241_2021</w:t>
      </w:r>
    </w:p>
    <w:p>
      <w:r>
        <w:t>FR: TAF E-2241/2021 du 30 juin 2021</w:t>
      </w:r>
    </w:p>
    <w:p>
      <w:r>
        <w:t>IT: TAF E-2241/2021 del 30 giugno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Der Verfügung des SEM vom 4. Mai 2021 liegt eine mangelhafte Rechtsmittelbelehrung zugrunde, beträgt doch die Rechtsmittelfrist in Verfahren betreffend Datenänderung im ZEMIS 30 Tage (Art. 50 Abs. 1 VwVG). In diesem Sinne liegt eine fehlerhafte Eröffnung vor. Vorliegend hat dies jedoch keine Folgen, bewirkte doch die falsche Rechtsmittelbelehrung keine Rechtsnachteile für den Beschwerdeführer, zumal er den ZEMIS-Eintrag mittels Beschwerde anfechten konnte und seit seiner Beschwerdeeingabe genügend Zeit hatte, Ergänzungen einzureichen (vgl. Urteil des BVGer F-5170/2020 vom 16. März 2021, vgl. zum Ganzen Uhlmann/Schilling-Schwank, in: Praxiskommentar VwVG, 2. Aufl. 2016, Art. 38 N 22 f.). Überdies hat der Beschwerdeführer selbst die falsche Rechtsmittelbelehrung nicht gerügt.</w:t>
      </w:r>
    </w:p>
    <w:p>
      <w:r>
        <w:rPr>
          <w:b/>
        </w:rPr>
        <w:t>E. 3.1</w:t>
      </w:r>
    </w:p>
    <w:p>
      <w:r>
        <w:t>Die vorliegende Beschwerde richtet sich sowohl gegen den Nichteintretensentscheid betreffend das Asylgesuch als auch gegen die ZEMIS-Eintragung.</w:t>
      </w:r>
    </w:p>
    <w:p>
      <w:r>
        <w:rPr>
          <w:b/>
        </w:rPr>
        <w:t>E. 3.2</w:t>
      </w:r>
    </w:p>
    <w:p>
      <w:r>
        <w:t>Mit Beschwerde kann in Bezug auf den Nichteintretensentscheid die Verletzung von Bundesrecht (einschliesslich Missbrauch und Überschreiten des Ermessens) sowie die unrichtige oder unvollständige Feststellung des rechtserheblichen Sachverhalts gerügt werden (Art. 106 Abs. 1 AsylG).</w:t>
      </w:r>
    </w:p>
    <w:p>
      <w:r>
        <w:rPr>
          <w:b/>
        </w:rPr>
        <w:t>E. 3.3</w:t>
      </w:r>
    </w:p>
    <w:p>
      <w:r>
        <w:t>Hinsichtlich der ZEMIS-Berichtigung entscheidet das Bundesverwaltungsgericht mit uneingeschränkter Kognition (Art. 49 VwVG).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Dublin-III-VO wiederaufzunehmen (Art. 18 Abs. 1 Bst. c Dublin-III-VO). Diese Verpflichtung erlischt, wenn der Gesuchsteller oder eine andere Person gemäss Art. 18 Abs. 1 Bst. c oder d Dublin-III-VO das Herrschaftsgebiet der Mitgliedstaaten während einer Dauer von mindestens drei Monaten verlassen hat, ausser die Person verfüge über einen durch den zuständigen Mitgliedstaat ausgestellten Aufenthaltstitel (vgl. Art. 19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6.1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6.3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7.1</w:t>
      </w:r>
    </w:p>
    <w:p>
      <w:r>
        <w:t>Die Vorinstanz führte zur Begründung ihrer Verfügung aus, der Beschwerdeführer habe seine Minderjährigkeit weder nachweisen noch glaubhaft machen können. Seine Tazkira, in welcher festgehalten sei, im Jahre 2018 sei er nach Massgabe seines Aussehens auf (...) Jahre geschätzt worden, lasse keinen eindeutigen Schluss auf sein Alter zu. Dies umso mehr, weil das Ausweispapier nachträglich eingereicht worden sei. Es beständen insbesondere Zweifel an der Echtheit dieses Dokuments, weil dort angegeben sei, dass dieses am Tag seiner Geburt ausgestellt worden sei. Die von ihm eingereichte durch (...) beglaubigte englische Übersetzung seiner Tazkira stimme in vielen Punkten nicht mit der Tazkira selbst überein. Zudem seien solche Dokumente nicht fälschungssicher und leicht käuflich erwerbbar. In Rumänien sei er als erwachsene Person erfasst worden. Für die Zugstrecke von B._______ nach C._______ habe er ein Zugticket für Erwachsene ausstellen lassen. Überdies entspreche seine äussere Erscheinung dem Alter einer volljährigen Person. Die forensische Altersabklärung habe ein wahrscheinliches Lebensalter von 18 bis 22 Jahren sowie ein Mindestalter von 17 Jahren ergeben. Demnach könne das vom Beschwerdeführer angegebene Alter von (...) nicht zutreffen. Die weiteren Argumente, die er gegen eine Rückkehr nach Rumänien vorgebracht habe, vermöchten die Zuständigkeit dieses Landes für sein Asylverfahren nicht zu widerlegen. Es gebe keine wesentlichen Gründe für die Annahme, dass das Asylverfahren und die Aufnahmebedingungen für Asylsuchende in Rumänien Schwachstellen aufweisen würden, die eine der EU-Grundrechtecharte oder der EMRK widersprechenden Behandlung mit sich bringen würden. Es würden auch keine Gründe nach Art. 16 Abs. 1 Dublin-III-VO vorliegen, die die Schweiz zur Prüfung seines Asylgesuchs verpflichten würden. Die Bedingungen für Asylsuchende in Rumänien vermöchten zudem eine Anwendung der Souveränitätsklausel im Sinne von Art. 29a Abs. 3 der Asylverordnung 1 vom 11. August 1999 (AsylV 1, SR 142.311) und Art. 17 Abs. 1 Dublin-III-VO nicht zu begründen. In Bezug auf den Einwand des Beschwerdeführers, er sei von Polizisten geschlagen worden, hielt es fest, dass Rumänien ein demokratischer Rechtsstaat mit funktionierenden staatlichen Behörden- und Justizorganen sei, die als schutzwillig und schutzfähig gälten. Hinsichtlich seiner psychischen Verfassung sei festzuhalten, dass Rumänien über eine ausreichende medizinische Infrastruktur verfüge und verpflichtet sei, ihm bei Bedarf die erforderliche medizinische Versorgung zu gewähren, welche zumindest die Notversorgung und die unbedingt erforderliche Behandlung von Krankheiten und schweren psychischen Störungen umfasse. Das SEM trage seinem aktuellen Gesundheitszustand bei der Organisation der Überstellung nach Rumänien dadurch Rechnung, dass es die rumänischen Behörden vor der Überstellung über seinen Gesundheitszustand und, falls erforderlich, eine notwendige medizinische Behandlung informiere. Sein Gesundheitszustand stehe einer Überstellung nach Rumänien nicht entgegen und es würden auch sonst keine Umstände vorliegen, die die Schweiz veranlassen müssten, die Souveränitätsklausel anzuwenden.</w:t>
      </w:r>
    </w:p>
    <w:p>
      <w:r>
        <w:rPr>
          <w:b/>
        </w:rPr>
        <w:t>E. 7.2</w:t>
      </w:r>
    </w:p>
    <w:p>
      <w:r>
        <w:t>Der Beschwerdeführer entgegnete dem in seiner Beschwerdeschrift, seine Aussagen zu seinem Alter seien im Verlaufe des Verfahrens in der Schweiz stets einheitlich und nachvollziehbar gewesen. Es sei nicht nachvollziehbar, wie das SEM zur Einschätzung gelangt sei, seine Tazkira besitze keine Beweiskraft. Diese sei zusammen mit seinen Angaben als Indizien für seine Minderjährigkeit zu werten. In Anbetracht seiner fehlenden sprachlichen Fähigkeiten sei davon auszugehen, dass er nicht bewusst ein Zugticket für eine erwachsene Person erworben habe. Es lägen auch keine Informationen dazu vor, auf welcher Grundlage die rumänischen Behörden sein Alter erfasst hätten. Das vom SEM in Auftrag gegebene Altersgutachten mache keine verlässliche Aussage über sein Alter. Das Mindestalter bei der Schlüsselbein- beziehungsweise Skelettalteranalyse sowie bei der zahnärztlichen Untersuchung liege unter 18 Jahren. In einer Gesamtwürdigung, bei welcher seinen Aussagen sowie den Angaben auf der Tazkira am meisten Gewicht zugemessen werden müssten, sei er als minderjährig zu betrachten. Beim Beschwerdeführer sei eine posttraumatische Belastungsstörung diagnostiziert worden und er befinde sich deswegen in einer ambulanten psychisch-psychotherapeutischen Behandlung. Er sei psychisch stark belastet und nehme (...) ein. Die Vorinstanz habe dies zwar erwähnt, aber unterlassen, die Gründe dafür genauer zu untersuchen und einen umfassenden Bericht zu seinem Gesundheitszustand abzuwarten. Gemäss dem der Beschwerde beigelegten Arztbericht vom 10. Mai 2021 würde eine Rückführung nach Rumänien zu einer raschen Verschlechterung seines Gesundheitszustands führen. Das Ausbleiben einer durchgehenden und adäquaten psychosozialen Versorgung könnte das Risiko einer akuten Selbstgefährdung mit sich bringen. Der medizinische Sachverhalt sei nicht vollständig erstellt. Mit Verweis auf das Kindeswohl sowie seinen Gesundheitszustand machte der Beschwerdeführer schliesslich geltend, die Vorinstanz habe den ihr eingeräumten Ermessensspielraum hinsichtlich eines Selbsteintritts unterschritten.</w:t>
      </w:r>
    </w:p>
    <w:p>
      <w:r>
        <w:rPr>
          <w:b/>
        </w:rPr>
        <w:t>E. 8.1</w:t>
      </w:r>
    </w:p>
    <w:p>
      <w:r>
        <w:t>Gemäss Art. 6 AsylG i.V.m.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ff.). Die unrichtige oder unvollständige Feststellung des rechtserheblichen Sachverhalts in Verletzung der behördlichen Untersuchungspflicht bildet einen Beschwerdegrund (Art. 106 Abs. 1 Bst. b AsylG).</w:t>
      </w:r>
    </w:p>
    <w:p>
      <w:r>
        <w:rPr>
          <w:b/>
        </w:rPr>
        <w:t>E. 8.2</w:t>
      </w:r>
    </w:p>
    <w:p>
      <w:r>
        <w:t>Es obliegt grundsätzlich dem SEM zu beweisen, dass das aktuell im ZEMIS eingetragene Geburtsdatum ([...]) korrekt ist. Der Beschwerdeführer wiederum hat nachzuweisen, dass das von ihm im Datenänderungsgesuch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8.3</w:t>
      </w:r>
    </w:p>
    <w:p>
      <w:r>
        <w:t>Ein Abgleich der Fingerabdrücke des Beschwerdeführers mit der "Eurodac"-Datenbank ergab, dass dieser am 2. November 2020 in Rumänien ein Asylgesuch eingereicht hatte. Das SEM ersuchte deshalb die rumänischen Behörden am 5. Februar 2021 um Wiederaufnahme des Beschwerdeführers gestützt auf Art. 18 Abs. 1 Bst. b Dublin-III-VO. Die rumänischen Behörden stimmten dem Gesuch um Übernahme am 18. Februar 2021 gestützt auf Art. 18 Abs. 1 Bst. c Dublin-III-VO zu.</w:t>
      </w:r>
    </w:p>
    <w:p>
      <w:r>
        <w:rPr>
          <w:b/>
        </w:rPr>
        <w:t>E. 8.4</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8.4.1</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8.4.2</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Es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 Urteil des BVGer D-195/2021 vom 28. Januar 2021 E. 4.2).</w:t>
      </w:r>
    </w:p>
    <w:p>
      <w:r>
        <w:rPr>
          <w:b/>
        </w:rPr>
        <w:t>E. 8.4.3</w:t>
      </w:r>
    </w:p>
    <w:p>
      <w:r>
        <w:t>Nach konstanter Rechtsprechung kann eine Abweichung zwischen dem Knochenalter und dem tatsächlichen Alter von zweieinhalb bis drei Jahren noch als innerhalb des Normalbereichs betrachtet werden. Liegt das behauptete Alter indes ausserhalb dieser Standard-Abweichung, stellt die Knochenaltersanalyse ein Beweismittel dar, aufgrund dessen darauf zu schliessen ist, dass die asylsuchende Person über ihr Alter zu täuschen versucht (vgl. EMARK 2000 Nr. 19 E. 7 und 8, 2001 Nr. 23 E. 4.b, 2004 Nr. 30 E. 6.2 und zuletzt Urteil des BVGer E-1108/2020 vom 4. März 2020 E. 6.2).</w:t>
      </w:r>
    </w:p>
    <w:p>
      <w:r>
        <w:rPr>
          <w:b/>
        </w:rPr>
        <w:t>E. 8.5.1</w:t>
      </w:r>
    </w:p>
    <w:p>
      <w:r>
        <w:t>Nachfolgend ist daher zunächst die vom Beschwerdeführers behauptete Minderjährigkeit zu beurteilen. Im Altersgutachten vom 2. Februar 2021 wurde bezüglich des Skelettalters des Beschwerdeführers festgehalten, dass der Befund der Verknöcherung der medialen Schlüsselbein-Brustbein-Gelenke einem mittleren Alter von 19 mit einer möglichen Abweichung von 1.1 Jahren entspreche. Das minimale Alter, bei welchem das vorliegende Stadium 3a vorkomme, liege bei 17.5 beziehungsweise 16.4 Jahren. Bezüglich des Zahnalters wurde unter anderem angeführt, dass an den Zähnen 1 bis 7 im 3. Quadraten ein vollständiger Abschluss des Wurzelwachstums festgestellt werden könne, was ab einem Alter von 16 Jahren zur Beobachtung komme. An den Weisheitszähnen sei ein vollständiger Abschluss des Wurzelwachstums festzustellen, was auf ein Mindestalter von 17 Jahren hindeute. In Zusammenschau der Befunde könne deshalb von einem Mindestalter von 17 Jahren sowie von einem wahrscheinlichen Alter zwischen 18 und 21 Jahren ausgegangen werden. Als Fazit hält das Gutachten sodann fest, dass der Beschwerdeführer mit überwiegender Wahrscheinlichkeit das 18. Lebensjahr vollendet und die Volljährigkeit erreicht habe. Das vom Beschwerdeführer angegebene Alter von (...) sei mit den erhobenen Befunden nicht zu vereinbaren (vgl. SEM-Akten 1083120-25/6).</w:t>
      </w:r>
    </w:p>
    <w:p>
      <w:r>
        <w:rPr>
          <w:b/>
        </w:rPr>
        <w:t>E. 8.5.2</w:t>
      </w:r>
    </w:p>
    <w:p>
      <w:r>
        <w:t>Gestützt auf die vorangegangenen Erwägungen ergibt sich, dass das Mindestalter des Beschwerdeführers gemäss der medizinischen Altersabklärung sowohl bei der zahnärztlichen Untersuchung als auch der Schlüsselbein- respektive Skelettaltersanalyse unter 18 Jahren liegt. Demnach lässt sich dem Altersgutachten keine Aussage zur Minder- beziehungsweise Volljährigkeit des Beschwerdeführers entnehmen (vgl. E. 8.2.4).</w:t>
      </w:r>
    </w:p>
    <w:p>
      <w:r>
        <w:rPr>
          <w:b/>
        </w:rPr>
        <w:t>E. 8.5.3</w:t>
      </w:r>
    </w:p>
    <w:p>
      <w:r>
        <w:t>Als Indiz für die Volljährigkeit ist in vorliegendem Fall die Auskunft der rumänischen Behörden zu werten, gemäss welcher der Beschwerdeführer dort mit dem Geburtsdatum (...) registriert worden sei. Hingegen ist die Argumentation des SEM, der Beschwerdeführer habe sich für die Strecke von B._______ nach C._______ ein Zugticket zum Erwachsenentarif gekauft und dies spreche für seine Volljährigkeit, von der Hand zu weisen. Bei der österreichischen Bahn ist nämlich ab dem 15. Geburtstag der Preis für Erwachsene zu bezahlen (vgl. Die ÖBB, &lt; https://www.oebb.at/de/reiseplanung-services/vor-ihrer-reise/mit-kindern-unterwegs &gt;, abgerufen am 18. Juni 2021). Die Angabe des SEM, die beglaubigte Übersetzung der Tazkira stimme in vielen Punkten nicht mit der eingereichten Tazkira-Kopie überein, ist für das Gericht nicht nachvollziehbar, weil die Vorinstanz keinen dieser angeblich vielen Punkte aufführt.</w:t>
      </w:r>
    </w:p>
    <w:p>
      <w:r>
        <w:rPr>
          <w:b/>
        </w:rPr>
        <w:t>E. 8.5.4</w:t>
      </w:r>
    </w:p>
    <w:p>
      <w:r>
        <w:t>Bei der Einschätzung des Alters des Beschwerdeführers ist eine Ge-samtwürdigung vorzunehmen, bei der auch die protokollierten Aussagen zu den persönlichen Lebensumständen zu berücksichtigen sind (vgl. EMARK 2004 Nr. 30 E. 6.4.3 f.: insbesondere [übereinstimmende] Angaben zum Alter, zu Identitätspapieren bzw. zu den Gründen für deren Nichteinreichung, zu den familiäre Umstände, zum Schulbesuch, zu Berufsbildung / Berufstätigkeit und zu den Ausreiseumständen sowie nachvollziehbare länderspezifische Angaben zum behaupteten Herkunftsgebiet). In der Würdigung durch die Vorinstanz wurden jedoch vorliegend in keiner Weise diejenigen Indizien miteinbezogen, welche für die Minderjährigkeit des Beschwerdeführers sprechen könnten. In Bezug auf die eingereichte Kopie der Tazkira führte die Vorinstanz zwar zutreffend aus, diesem Dokument komme insbesondere aufgrund des Vorliegens in Kopie nur ein geringer Beweiswert zu. Zudem handelt es sich bei der Tazkira nicht um ein fälschungssicheres Dokument, weshalb hinsichtlich der Frage der Identität von Inhabern eines solchen Dokuments praxisgemäss von einem reduzierten Beweiswert eingereichter Tazkiras auszugehen ist. Hinsichtlich des Alters ist darauf hinzuweisen, dass auf einer Tazkira kein Geburtsdatum ausgewiesen, sondern lediglich festgehalten wird, der Inhaber sei im Ausstellungszeitpunkt in einem bestimmten Alter gewesen. Bereits aufgrund der Tazkira besteht somit eine mögliche Altersspanne von fast einem Jahr (der Inhaber der Tazkira kann bereits am ersten Tag, indessen auch erst am letzten Tag des Ausstellungsjahres das entsprechende Altersjahr vollendet haben). Der Beschwerdeführer machte bereits auf dem Personalienblatt und in der Erstbefragung geltend, am (...) (gemäss gregorianischem Kalender am [...]) geboren worden, mithin Ende des Jahres 2020 (...)-jährig gewesen zu sein, was mit den Angaben auf der später eingereichten Tazkira ([...]-jährig im Jahr 2018) in Einklang steht. Zudem erscheinen seine Erklärungen zum Alter dem Länderkontext entsprechend nachvollziehbar. Im afghanischen Kontext ist es für im ländlichen Gebiet aufwachsende Jugendliche durchaus üblich, dass sie ihr Alter nicht mit Sicherheit angeben können und dieses von Drittpersonen im Verlauf ihres Lebens erfahren, wird dieses doch nicht einmal in der Tazkira - häufig dem einzigen amtlichen Dokument in deren Besitz - genau aufgeführt (vgl. Urteil des BVGer E-322/2021 vom 17. Februar 2021 E. 3.4). Der Beschwerdeführer gab anlässlich der Erstbefragung an, seine älteren Geschwister seien (...) und (...) und seine jüngeren Geschwister (...) und (...) Jahre alt (vgl. SEM-Akten 1083120-16/14, nachfolgend A16/14 Ziffer 3.01). Angesichts des angegebenen Alters seiner Eltern von (...) beziehungsweise (...) Jahren erscheinen diese Angaben nicht abwegig und mit seiner eigenen Altersangabe vereinbar. Zu beachten ist auch die Ausführung im Arztzeugnis vom 10. Mai 2021, gemäss welchem beim Beschwerdeführer ein wechselhaftes Kontaktverhalten - zwischen trotzig-abweisend und stark bedürftig, hilfesuchend - auffalle, welches stark an das Verhalten eines Jugendlichen erinnere (vgl. Arztzeugnis vom 10. Mai 2021 S. 2). Ein ähnliches Bild - dasjenige eines hilfesuchenden Jungen - zeichnet das Erstbefragungsprotokoll, in welchem der Beschwerdeführer seinen Reiseweg so beschreibt, dass dieser von der Hoffnung nach einer Zusammenführung mit seinen Eltern, und als dies nicht möglich gewesen sei mit seinem Bruder, geprägt gewesen sei. Als er auch von seinem Bruder unfreiwillig getrennt worden sei, habe er sich einem anderen Jungen angeschlossen, dessen Bruder in Deutschland lebe. Zum Beispiel erwähnte er, dass die Polizei in Istanbul nicht gewusst habe, was sie mit ihm machen sollten. Er habe ihnen gesagt: "Ich weiss nicht, wo meine Eltern genau sind. Aber nach Afghanistan kann ich nicht zurückkehren". Später gab er zu Protokoll: "Ich blieb eine Weile bei meinem Trainer, mit dieser Hoffnung, dass meine Eltern auch dorthin kommen" (vgl. A16/14 Ziffer 5.02).</w:t>
      </w:r>
    </w:p>
    <w:p>
      <w:r>
        <w:rPr>
          <w:b/>
        </w:rPr>
        <w:t>E. 8.6</w:t>
      </w:r>
    </w:p>
    <w:p>
      <w:r>
        <w:t>Vor dem Hintergrund, dass die Differenz des möglichen Knochenalters weniger als drei Jahre von den Angaben des Beschwerdeführers und dem in seiner Tazkira erfassten Datum abweicht, und aufgrund der Tatsache, dass sich das SEM in der angefochtenen Verfügung im Wesentlichen auf das vorliegende Altersgutachten stützt, hätten sich in casu weitere Untersuchungen aufgedrängt. Die angefochtene Verfügung erging mithin in Verletzung des Untersuchungsgrundsatzes und gestützt auf einen unvollständig beziehungsweise unrichtig festgestellten Sachverhalt. Da die im vorliegenden Fall möglicherweise tangierten Rechtsgüter im Zusammenhang mit dem Kindeswohl als hoch zu qualifizieren sind und die Frage der Volljährigkeit/Minderjährigkeit mit Blick auf Art. 8 Abs. 4 Dublin-VO-III die Frage der Zuständigkeit und somit eine Prozessvoraussetzung beschlägt, gebietet der Untersuchungsgrundsatz in casu einen möglichst umfassenden Einbezug der zur Verfügung stehenden Untersuchungsmittel. Das SEM ist anzuhalten, allenfalls mittels einer weiteren Befragung, einer vertieften Auseinandersetzung mit den bisher eingereichten Beweismitteln, der Einholung weiterer Beweismittel beziehungsweise Gutachten abzuklären, ob der Beschwerdeführer tatsächlich volljährig ist und das im ZEMIS eingetragene Geburtsdatum vom (...) wahrscheinlicher ist als der von ihm angegebene (...).</w:t>
      </w:r>
    </w:p>
    <w:p>
      <w:r>
        <w:rPr>
          <w:b/>
        </w:rPr>
        <w:t>E. 9</w:t>
      </w:r>
    </w:p>
    <w:p>
      <w:r>
        <w:t>Aufgrund des Gesagten ist die Beschwerde gutzuheissen. Die Verfügung vom 4. Mai 2021 ist aufzuheben und die Sache im Sinne der Erwägungen zur weiteren Sachverhaltsabklärung und neuer Entscheidung an die Vorinstanz zurückzuweisen. Angesichts der Rückweisung der Sache erübrigt sich eine Auseinandersetzung mit den weiteren Vorbringen in der Beschwerdeschrift.</w:t>
      </w:r>
    </w:p>
    <w:p>
      <w:r>
        <w:rPr>
          <w:b/>
        </w:rPr>
        <w:t>E. 10.1</w:t>
      </w:r>
    </w:p>
    <w:p>
      <w:r>
        <w:t>Bei diesem Ausgang des Verfahrens sind keine Kosten zu erheben (Art. 63 Abs. 1 und 2 VwVG).</w:t>
      </w:r>
    </w:p>
    <w:p>
      <w:r>
        <w:rPr>
          <w:b/>
        </w:rPr>
        <w:t>E. 10.2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