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E-2240/2021 vom 19. Mai 2021</w:t>
      </w:r>
    </w:p>
    <w:p>
      <w:r>
        <w:t>Bundesverwaltungsgericht, 2021-05-19, DE</w:t>
      </w:r>
    </w:p>
    <w:p>
      <w:r>
        <w:rPr>
          <w:b/>
        </w:rPr>
        <w:t xml:space="preserve">Quelle: </w:t>
      </w:r>
      <w:r>
        <w:t>https://mcp.opencaselaw.ch/entscheid/bvger_E-2240_2021</w:t>
      </w:r>
    </w:p>
    <w:p>
      <w:r>
        <w:t>FR: TAF E-2240/2021 du 19 mai 2021</w:t>
      </w:r>
    </w:p>
    <w:p>
      <w:r>
        <w:t>IT: TAF E-2240/2021 del 19 maggio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w:t>
      </w:r>
    </w:p>
    <w:p>
      <w:r>
        <w:rPr>
          <w:b/>
        </w:rPr>
        <w:t>E. 1.4</w:t>
      </w:r>
    </w:p>
    <w:p>
      <w:r>
        <w:t>Die Frist für formgerecht eingereichte Beschwerden gegen Nichteintretensentscheide beträgt fünf Arbeitstage (Art. 105 und 108 Abs. 3 AsylG, Art. 52 VwVG). Sie wurde vom Beschwerdeführer mit der vom 11. Mai 2021 datierten Eingabe gewahrt.</w:t>
      </w:r>
    </w:p>
    <w:p>
      <w:r>
        <w:rPr>
          <w:b/>
        </w:rPr>
        <w:t>E. 1.5</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der Beschwerdeinstanz grundsätzlich auf die Frage beschränkt, ob die Vorinstanz zu Recht auf das Gesuch nicht eingetreten ist (vgl. BVGE 2011/9 E. 5). Falls es den Nichteintretensentscheid als unrechtmässig qualifiziert, enthält sich das Bundesverwaltungsgericht deshalb einer selbständigen materiellen Prüfung; diesfalls hebt das Gericht die angefochtene Verfügung auf und weist die Sache zur neuen Entscheidung an die Vorinstanz zurück (vgl. BVGE 2007/8 E. 2.1).</w:t>
      </w:r>
    </w:p>
    <w:p>
      <w:r>
        <w:rPr>
          <w:b/>
        </w:rPr>
        <w:t>E. 3</w:t>
      </w:r>
    </w:p>
    <w:p>
      <w:r>
        <w:t>Die Beschwerde erweist sich - wie nachfolgend aufgezeigt - als offensichtlich begründet. Über die Beschwerde ist daher in einzelrichterlicher Zuständigkeit mit Zustimmung eines zweiten Richters oder einer zweiten Richterin zu entscheiden (Art. 111 Bst. e AsylG). Aus demselben Grund ist auf einen Schriftenwechsel zu verzichten und der Entscheid nur summarisch zu begründen (Art. 111a Abs. 1 und 2 AsylG).</w:t>
      </w:r>
    </w:p>
    <w:p>
      <w:r>
        <w:rPr>
          <w:b/>
        </w:rPr>
        <w:t>E. 4.1</w:t>
      </w:r>
    </w:p>
    <w:p>
      <w:r>
        <w:t>Das SEM führt zur Begründung seines Nichteintretensentscheids aus, der Beschwerdeführer habe sein zweites Asylgesuch nicht gehörig begründet.</w:t>
      </w:r>
    </w:p>
    <w:p>
      <w:r>
        <w:rPr>
          <w:b/>
        </w:rPr>
        <w:t>E. 4.2</w:t>
      </w:r>
    </w:p>
    <w:p>
      <w:r>
        <w:t>Hierzu bringt der Beschwerdeführer in der Beschwerdeschrift vor, er wolle dies nun nachholen. Die Lage im Nordirak habe sich seit seinem ersten Asylgesuch verschlechtert. Durch die Pandemie des Coronavirus habe sich die Situation weiter verschärft. Seine Eltern lebten in B._______ und hätten zum heutigen Zeitpunkt weder in D._______ noch in C._______ eine Unterkunft. In D._______ oder C._______ habe er niemanden mehr, weshalb der Nordirak für ihn keine zumutbare Fluchtalternative darstelle. Er selbst habe als Kind während einiger Jahre dort gelebt, sei seither aber nie mehr dort gewesen.</w:t>
      </w:r>
    </w:p>
    <w:p>
      <w:r>
        <w:rPr>
          <w:b/>
        </w:rPr>
        <w:t>E. 5.1</w:t>
      </w:r>
    </w:p>
    <w:p>
      <w:r>
        <w:t>Prüfungsgegenstand ist vorliegend die Frage, ob die Vorinstanz zu Recht auf das zweite Asylgesuch des Beschwerdeführers nicht eingetreten ist.</w:t>
      </w:r>
    </w:p>
    <w:p>
      <w:r>
        <w:rPr>
          <w:b/>
        </w:rPr>
        <w:t>E. 5.2</w:t>
      </w:r>
    </w:p>
    <w:p>
      <w:r>
        <w:t>Gemäss dem seit dem 1. Februar 2014 zur Anwendung kommenden Verfahren für Folgegesuche soll bei Wiedererwägungs- und Asylfolgegesuchen (sog. Mehrfachgesuchen) Art. 29 AsylG (Anhörung zu den Asylgründen) grundsätzlich nicht mehr zur Anwendung kommen. Dementsprechend wird über Folgegesuche, so auch das hier in Frage stehende Gesuch, grundsätzlich in einem Aktenverfahren ohne weitere Anhörung der gesuchstellenden Person entschieden. Mit den neuen Gesetzesbestimmungen von Art. 111b ff. AsylG wurden auch die formellen Anforderungen an die Eingabe von Folgegesuchen geändert. Folgegesuche sollen nur noch schriftlich und begründet eingereicht werden können. Dabei müssen Folgegesuche mindestens insoweit begründet sein, dass sie die Behörde in die Lage versetzen, über das Gesuch zu entscheiden, auch ohne dass sie die gesuchstellende Person anhört. Die solchermassen vorgenommene Beschleunigung darf allerdings nicht auf Kosten der Rechtsstaatlichkeit der Verfahren erfolgen. Das Bundesverwaltungsgericht hat in BVGE 2014/39 namentlich für Mehrfachgesuche festgehalten, dass - insbesondere bei erneuten Asylgesuchen von Personen, die zwischenzeitlich in ihr Heimatland zurückgekehrt sind - tatsächlich neue beachtliche Gründe für eine Verfolgung geltend gemacht werden können, die in einer schriftlichen (Laien-)Eingabe nicht ausführlich genug dargelegt werden können. Dabei regelt das AsylG nicht, ob beziehungsweise in welchen Fällen das SEM einer ein Wiedererwägungs-oder Mehrfachgesuch stellenden Person Gelegenheit zur Verbesserung oder Ergänzung des Gesuchs einzuräumen hat. Bei ungenügender Einhaltung der Formvorschriften ist daher in analoger Anwendung der Regeln über die Verbesserung der Beschwerde eine Frist nach Art. 52 VwVG einzuräumen. Ein solches Vorgehen ist auch dem Grundsatz des Verbots des überspitzten Formalismus geschuldet und mit Rücksicht auf die hochrangigen Rechtsgüter, welche Gegenstand des Asylverfahrens sind, geboten (a.a.O. E. 5.5).</w:t>
      </w:r>
    </w:p>
    <w:p>
      <w:r>
        <w:rPr>
          <w:b/>
        </w:rPr>
        <w:t>E. 5.3</w:t>
      </w:r>
    </w:p>
    <w:p>
      <w:r>
        <w:t>Das SEM hat somit auch bei Wiedererwägungs- oder Mehrfachgesuchen die Pflicht, den rechtserheblichen Sachverhalt abzuklären, wenn die schriftliche Eingabe nicht eine Begründungsdichte aufweist, welche den Behörden erlaubt, die neuen wesentlichen Asylgründe sorgfältig zu prüfen (vgl. BVGE 2014/39 E. 5.5). Vorliegend stützte sich das SEM in seinem Entscheid einzig auf die Laieneingabe des Beschwerdeführers, in welcher dieser (auf weniger als einer A4-Seite) lediglich darlegte, er wolle ein neues Asylgesuch einreichen. Das SEM verzichtete sowohl auf die Durchführung einer Anhörung des Beschwerdeführers als auch auf andere Instruktionsmassnahmen, wie etwa die Unterbreitung schriftlicher Fragen oder die Aufforderung zur schriftlichen Gesuchsergänzung.</w:t>
      </w:r>
    </w:p>
    <w:p>
      <w:r>
        <w:rPr>
          <w:b/>
        </w:rPr>
        <w:t>E. 5.4</w:t>
      </w:r>
    </w:p>
    <w:p>
      <w:r>
        <w:t>Mit Blick auf die rudimentär gehaltene Laieneingabe des Beschwerdeführers vom 20. März 2021 erachtet das Bundesverwaltungsgericht den Sachverhalt als nicht hinreichend erstellt, um eine allfällige Gefährdungslage des Beschwerdeführers beziehungsweise Wegweisungsvollzugshindernisse ausschliessen zu können. Dies gilt umso mehr, als der - mit den Verfahrensabläufen offensichtlich nicht vertraute Beschwerdeführer, der ohne Rechtsbeistand sein Gesuch einreichte - lediglich angab, ein neues Asylgesuch stellen zu wollen, und damit zu verstehen gab, dass er seine Vorbringen in der Eingabe vom 20. März 2021 nicht vollumfänglich geschildert hat. Vor dem Hintergrund der zitierten Rechtsprechung (BVGE 2014/39 E. 5.5) wäre das SEM angehalten gewesen, den Beschwerdeführer darauf hinzuweisen, dass seine Eingabe den gesetzlichen Anforderungen an die Begründung eines ausserordentlichen Rechtsmittels nicht genügt, und abzuklären, auf welche Gründe der Beschwerdeführer sein zweites Asylgesuch stützt. Indem die Vorinstanz darauf verzichtete, dem Beschwerdeführer in analoger Anwendung von Art. 52 VwVG zumindest die Möglichkeit zur Verbesserung seiner knappen Eingabe vom 20. März 2021 einzuräumen, handelte sie überspitzt formalistisch und verletzte damit die dem Beschwerdeführer aus Art. 29 BV zustehenden Rechte. Gleichzeitig ist der rechtserhebliche Sachverhalt als nicht rechtsgenüglich erstellt zu erachten. Im Sinne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was sie vorliegend unterlassen hat (vgl. zum Ganzen auch Urteil des BVGer E-2968/2020 vom 22. Juli 2020 E. 4.3 ff.).</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BVGE 2012/21 E. 5).</w:t>
      </w:r>
    </w:p>
    <w:p>
      <w:r>
        <w:rPr>
          <w:b/>
        </w:rPr>
        <w:t>E. 6.2</w:t>
      </w:r>
    </w:p>
    <w:p>
      <w:r>
        <w:t>Nach dem Gesagten erweist sich eine Kassation als angezeigt. Zwar kann auch das Bundesverwaltungsgericht einzelne Untersuchungsmassnahmen veranlassen und selber durchführen. Da jedoch der Sachverhalt nicht abschliessend geklärt erscheint und weitere Untersuchungsmassnahmen notwendig sind, ist die Beschwerde gutzuheissen, die angefochtene Verfügung aufzuheben und an die Vorinstanz zurückzuweisen. Auf diese Weise bleibt der Instanzenzug erhalten, was umso wichtiger ist, als das Bundesverwaltungsgericht letztinstanzlich entscheidet. Die Vorinstanz ist anzuweisen, in geeigneter Weise abzuklären, auf welche Gründe der Beschwerdeführer sein zweites Asylgesuch stützt, und diese entsprechend zu würdigen. Die Beschwerdeschrift wird der Vorinstanz in Kopie zugestellt. Bei dieser Sachlage erübrigt sich eine weitere Auseinandersetzung mit den Vorbringen des Beschwerdeführers.</w:t>
      </w:r>
    </w:p>
    <w:p>
      <w:r>
        <w:rPr>
          <w:b/>
        </w:rPr>
        <w:t>E. 7</w:t>
      </w:r>
    </w:p>
    <w:p>
      <w:r>
        <w:t>Die Beschwerde ist demnach gutzuheissen, die angefochtene Verfügung ist aufzuheben, und die Sache ist im Sinne der Erwägungen an die Vorinstanz zurückzuweisen.</w:t>
      </w:r>
    </w:p>
    <w:p>
      <w:r>
        <w:rPr>
          <w:b/>
        </w:rPr>
        <w:t>E. 8.1</w:t>
      </w:r>
    </w:p>
    <w:p>
      <w:r>
        <w:t>Bei diesem Ausgang des Verfahrens sind keine Kosten zu erheben (Art. 63 Abs. 1 und 2 VwVG).</w:t>
      </w:r>
    </w:p>
    <w:p>
      <w:r>
        <w:rPr>
          <w:b/>
        </w:rPr>
        <w:t>E. 8.2</w:t>
      </w:r>
    </w:p>
    <w:p>
      <w:r>
        <w:t>Obsiegende oder teilweise obsiegende Parteien haben Anspruch auf eine Parteientschädigung für die ihnen erwachsenen notwendigen und verhältnismässigen hohen Kosten (Art. 64 Abs. 1 VwVG). Es ist nicht davon auszugehen, dass dem nicht vertretenen Beschwerdeführer aus dem vorliegenden Verfahren Kosten im Sinne der massgeblichen Bestimmungen entstanden sind, weshalb ihm keine Parteientschädigung zuzusprechen ist (Art. 64 Abs. 1 VwVG und Art. 7 des Reglements vom 21. Februar 2008 über die Kosten und Entschädigungen vor dem Bundesverwaltungsgericht [VGKE, SR 173.320.2]).</w:t>
      </w:r>
    </w:p>
    <w:p>
      <w:r>
        <w:rPr>
          <w:b/>
        </w:rPr>
        <w:t>E. 8.3</w:t>
      </w:r>
    </w:p>
    <w:p>
      <w:r>
        <w:t>Das Gesuch um Gewährung der unentgeltlichen Prozessführung samt Verzicht auf die Erhebung eines Kostenvorschusses sowie um amtliche Verbeiständung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