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E-223/2017 vom 20. Februar 2017</w:t>
      </w:r>
    </w:p>
    <w:p>
      <w:r>
        <w:t>Bundesverwaltungsgericht, 2017-02-20, FR</w:t>
      </w:r>
    </w:p>
    <w:p>
      <w:r>
        <w:rPr>
          <w:b/>
        </w:rPr>
        <w:t xml:space="preserve">Quelle: </w:t>
      </w:r>
      <w:r>
        <w:t>https://mcp.opencaselaw.ch/entscheid/bvger_E-223_2017</w:t>
      </w:r>
    </w:p>
    <w:p>
      <w:r>
        <w:t>FR: TAF E-223/2017 du 20 février 2017</w:t>
      </w:r>
    </w:p>
    <w:p>
      <w:r>
        <w:t>IT: TAF E-223/2017 del 20 febbraio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comme le SEM l'a retenu, n'a pas été en mesure de faire apparaître la pertinence de ses motifs.</w:t>
      </w:r>
    </w:p>
    <w:p>
      <w:r>
        <w:rPr>
          <w:b/>
        </w:rPr>
        <w:t>E. 3.2</w:t>
      </w:r>
    </w:p>
    <w:p>
      <w:r>
        <w:t>C'est certes à juste titre que le recourant fait grief à l'autorité inférieure d'une motivation inadéquate. En effet, le SEM s'est livré à une étude de la situation des Gabooye (ou Midgan) pour en déduire une absence, en l'espèce, de risque de persécution. Les Gabooye sont une population exclue du système clanique somalien, généralement méprisée en raison des métiers qu'elle exerce, considérés comme infamants (boucherie, travail du cuir, soin des cadavres). Comme le SEM l'a relevé, ils sont exposés à toutes sortes de discriminations et de vexations, et n'ont que difficilement accès à l'éducation, à la santé et aux activités commerciales, ainsi qu'au mariage avec les autres groupes (Austrian Red Cross [ACCORD], Clans in Somalia, décembre 2009 ; Home Office, Country Information and Guidance, South and central Somalia : Majority Clans and minority groups, mars 2015). Le recourant n'appartient toutefois pas à cette catégorie, mais au groupe des Ashraf. Ces derniers, sans constituer à proprement parler un clan, forment une communauté beaucoup mieux considérée et généralement intégrée aux clans parmi lesquels ils vivent ; tenus pour des connaisseurs de la religion, ils bénéficient d'un certain prestige. En cette qualité, ils ne sont pas comme tels exposés à des atteintes particulières, ni à la persécution, bien qu'ils se soient attirés l'hostilité des extrémistes shebab. La situation des Ashraf est donc relativement favorable, bien qu'ils puissent être exposés à la discrimination des clans dominants. Au Somaliland, leur statut est meilleur que dans le reste du pays, vu l'instabilité moindre dans cette région (Austrian Federal Ministry of the Interior, Somalia : Security, Minorities and Migration, 2013 ; Bundesamt für Migration und Flüchtlinge, Minderheiten in Somalia, juillet 2010 ; Commission de l'immigration et du statut de réfugié du Canada, Somalie : information sur le clan des Ashraf, novembre 2010).</w:t>
      </w:r>
    </w:p>
    <w:p>
      <w:r>
        <w:rPr>
          <w:b/>
        </w:rPr>
        <w:t>E. 3.3</w:t>
      </w:r>
    </w:p>
    <w:p>
      <w:r>
        <w:t>Ces précisions étant apportées, il apparaît que l'intéressé n'a pas été la victime d'une persécution en raison de son appartenance clanique ou ethnique. Il ressort en effet de ses dires qu'il a été en butte, durant plusieurs années, à l'hostilité de certains éléments de la population de Hargeysa ou C._______, qui se manifestait par des insultes ou occasionnellement par des coups ; les policiers lui auraient également extorqué de l'argent. Toutefois, jamais ces atteintes n'auraient approché le niveau d'intensité permettant de les qualifier de persécution ; bien qu'affirmant, dans son acte de recours, avoir été victime de fractures, l'intéressé n'en a produit aucune preuve médicale. Quant à la condamnation qui lui aurait été infligée à la suite d'une bagarre, et qu'il aurait en partie purgée, rien n'atteste (vu sa date inconnue) qu'elle soit en relation avec son départ, ni qu'elle ait été prononcée de manière illégitime. A cela s'ajoute que le recourant a admis, lors de son audition au CEP, qu'il avait quitté son pays avant tout pour trouver de meilleures conditions de vie ; ce n'est que lors de sa seconde audition, et dans son acte de recours, qu'il a fait valoir une persécution en raison de son origine. Cette assertion est dès lors douteuse, et il n'est pas crédible qu'un danger de persécution soit la cause du départ. A l'appui, le Tribunal relève également l'invraisemblance des conditions de ce départ, accompli, selon l'intéressé, grâce à l'aide financière providentielle d'un inconnu.</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 dans son pays d'origine et a prononcé son admission provisoire. Cette question n'a donc pas à être tranchée.</w:t>
      </w:r>
    </w:p>
    <w:p>
      <w:r>
        <w:rPr>
          <w:b/>
        </w:rPr>
        <w:t>E. 5</w:t>
      </w:r>
    </w:p>
    <w:p>
      <w:r>
        <w:t>Dès lors, la décision attaquée ne viole pas le droit fédéral, et le SEM a établi de manière exacte et complète l'état de fait pertinent (art. 106 al. 1 LAsi). En conséquence, le recours est rejeté.</w:t>
      </w:r>
    </w:p>
    <w:p>
      <w:r>
        <w:rPr>
          <w:b/>
        </w:rPr>
        <w:t>E. 6</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