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E-2236/2008 vom 7. September 2010</w:t>
      </w:r>
    </w:p>
    <w:p>
      <w:r>
        <w:t>Bundesverwaltungsgericht, 2010-09-07, FR</w:t>
      </w:r>
    </w:p>
    <w:p>
      <w:r>
        <w:rPr>
          <w:b/>
        </w:rPr>
        <w:t xml:space="preserve">Quelle: </w:t>
      </w:r>
      <w:r>
        <w:t>https://mcp.opencaselaw.ch/entscheid/bvger_E-2236_2008</w:t>
      </w:r>
    </w:p>
    <w:p>
      <w:r>
        <w:t>FR: TAF E-2236/2008 du 7 septembre 2010</w:t>
      </w:r>
    </w:p>
    <w:p>
      <w:r>
        <w:t>IT: TAF E-2236/2008 del 7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motif invoqué par le requérant à l'appui de sa demande d'asile, à savoir qu'il est venu en Suisse pour rejoindre son père, n'est pas pertinent. C'est d'ailleurs à juste titre que l'ODM a considéré que l'intéressé n'était pas persécuté ou menacé dans son pays d'origine ou de résidence. Certes, le recourant a brièvement et vaguement fait allusion, lors de son audition sommaire, aux chicaneries de ses camarades macédoniens (cf. consid. A du présent arrêt); toutefois, il a lui-même admis qu'il ne s'était rien passé de grave et qu'il n'avait aucun problème personnel en Macédoine (pv de son audition sommaire p. 5). De même, le fait qu'un drogué notoire l'aurait menacé, uniquement verbalement, n'est pas déterminant (cf. pv de son audition fédérale p. 8). Au surplus, aucun commencement de preuve ne vient étayer ces faits et, l'intéressé ne les ayant pas datés, il n'est pas établi que ces incidents, s'ils étaient avérés, soient dans un lien de causalité temporel suffisamment étroit avec le départ du recourant de Macédoine en novembre 2007. Enfin, la lettre de menaces (cf. consid. C du présent arrêt) ne lui est pas adressée, mais l'enveloppe porte le nom de son père. Bien que l'auteur de cet écrit mentionne également le recourant, sans le nommer (le désignant comme le "fils"), ce document n'est pas de nature à établir que l'intéressé serait personnellement, avec un degré suffisant de certitude, persécuté de façon déterminante en matière d'asile par la famille de la seconde épouse de son père, apparemment à cause des problèmes conjugaux du couple, tel que mentionné dans la lettre.</w:t>
      </w:r>
    </w:p>
    <w:p>
      <w:r>
        <w:rPr>
          <w:b/>
        </w:rPr>
        <w:t>E. 3.2</w:t>
      </w:r>
    </w:p>
    <w:p>
      <w:r>
        <w:t>Il ressort de ce qui précède que les motifs d'asile allégués par le recourant ne répondent manifestement pas aux exigences en matière de pertinence fixées par l'art. 3 LAsi.</w:t>
      </w:r>
    </w:p>
    <w:p>
      <w:r>
        <w:rPr>
          <w:b/>
        </w:rPr>
        <w:t>E. 3.3</w:t>
      </w:r>
    </w:p>
    <w:p>
      <w:r>
        <w:t>Le recours, faute de contenir tout argument susceptible de remettre en cause le bien-fondé de la décision de l'ODM du 5 mars 2008,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w:t>
      </w:r>
    </w:p>
    <w:p>
      <w:r>
        <w:rPr>
          <w:b/>
        </w:rPr>
        <w:t>E. 6.3.1</w:t>
      </w:r>
    </w:p>
    <w:p>
      <w:r>
        <w:t>En l'occurrence, force est de constater que le recourant n'a pas été en mesure d'établir, pour les motifs exposés au considérant 3, l'existence d'un risque réel, fondé sur des motifs sérieux et avérés, d'être exposé, en cas de renvoi dans son pays d'origine,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La Serbie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Aussi, convient-il de déterminer si les éléments relatifs à la situation personnelle du recourant font obstacles à l'exécution de son renvoi.</w:t>
      </w:r>
    </w:p>
    <w:p>
      <w:r>
        <w:rPr>
          <w:b/>
        </w:rPr>
        <w:t>E. 7.3.1</w:t>
      </w:r>
    </w:p>
    <w:p>
      <w:r>
        <w:t>L'intérêt personnel du recourant constitue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la balance des intérêts lors de l'examen de l'exigibilité du renvoi (cf. dans ce sens JICRA 2006 n° 13 consid. 3.5. p. 143 ; JICRA 1998 n° 31 consid. 8c ff bbb). De telles difficultés ont été notamment reconnues pour des enfants scolarisés et des adolescents ayant passé une certaine partie de leur vie en Suisse. Sont ainsi déterminants dans l'appréciation globale de la situation des adolescents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à prendre en compte lors de l'examen des indices favorables comme des obstacles à la réintégration de l'adolescent dans le pays de renvoi (cf. JICRA 2005 n ° 6 consid.6.2 p. 58).</w:t>
      </w:r>
    </w:p>
    <w:p>
      <w:r>
        <w:rPr>
          <w:b/>
        </w:rPr>
        <w:t>E. 7.3.2</w:t>
      </w:r>
    </w:p>
    <w:p>
      <w:r>
        <w:t>En l'occurrence, le recourant est aujourd'hui un jeune adulte sans charge de famille. Par ailleurs, l'attestation médicale du 12 juin 2009, rédigée avant tout pour son père, qui plus est par un médecin qui ne suit pas personnellement le recourant, n'établit pas que celui-ci souffrirait d'un problème de santé particulier. Indépendamment de cela, le recourant a vécu depuis l'âge de 5 ans chez sa tante paternelle à Skopje, en Macédoine, jusqu'à son départ pour la Suisse. Dès lors, il a passé la majeure partie de sa vie et a été scolarisé loin de son pays d'origine, ce qui est corroboré par le fait qu'il maîtrise mieux le macédonien que le serbe (cf. pv de son audition fédérale p. 3, question n° 9). De plus, l'intéressé a déclaré que sa mère avait quitté la Serbie pour se rendre en Suède (cf. recours p. 2) et il n'a par conséquent plus de parent en Serbie. Ensuite, le Tribunal ne saurait omettre qu'à son arrivée en Suisse, en novembre 2007, le recourant n'avait que quinze ans et demi. Il a alors immédiatement intégré une classe d'accueil, le 4 décembre 2007 et il a continué à suivre cette scolarité jusqu'en juin 2009. Il a ainsi terminé sa scolarité en Suisse, où il a débuté un apprentissage le 1er septembre 2009. Y résidant depuis près de trois ans, il y a vécu des années déterminantes de son développement personnel, scolaire et professionnel. La scolarité obligatoire qu'il a pu poursuivre et achever dans son canton d'attribution correspond d'ailleurs à cette période de l'existence qui contribue de manière décisive à l'intégration de l'adolescent dans une communauté socioculturelle bien déterminée. Or selon les circonstances, il se justifie de considérer que l'obligation de rompre brutalement avec ce milieu pour se réadapter à un environnement complètement différent peut avoir comme conséquence un déracinement dans le pays d'origine de nature à rendre inexigible le renvoi (JICRA 2005 n°6 consid. 6.1 p. 57ss ; 1998 n° 31 p. 255ss). Aussi, si l'on tient compte à la fois de son âge, du temps passé en Suisse, de son intégration sociale et notamment sociétaire (il s'entraîne dans un club de football régional), d'une scolarisation menée à terme qui lui a valu une place d'apprentissage, dont les évaluations sont favorables, on peut admettre qu'en l'état, l'exécution de son renvoi n'est pas raisonnablement exigible même si pris isolément, aucun des facteurs précités ne saurait en lui-même conduire à l'admission du recours. Penche aussi en faveur d'une issue favorable, la présence en Suisse de son père, lequel a été admis provisoirement en Suisse, suite à l'arrêt du Tribunal du 3 août 2010 (E-5795/2006). Sans doute est-ce grâce aux efforts de celui-ci et à son action stabilisatrice que le recourant a pu réussir son intégration scolaire et sociale. Il serait donc vain de l'en séparer au risque de réduire à néant tout ce qui a été accompli jusqu'ici (cf. arrêt du Tribunal administratif fédéral E-5066/2006 du 4 décembre 2009 consid. 7.7).</w:t>
      </w:r>
    </w:p>
    <w:p>
      <w:r>
        <w:rPr>
          <w:b/>
        </w:rPr>
        <w:t>E. 8</w:t>
      </w:r>
    </w:p>
    <w:p>
      <w:r>
        <w:t>En conséquence, après pondération des éléments ayant trait à l'examen de l'exécution du renvoi du recourant, le Tribunal n'estime pas raisonnablement exigible cette mesure.</w:t>
      </w:r>
    </w:p>
    <w:p>
      <w:r>
        <w:rPr>
          <w:b/>
        </w:rPr>
        <w:t>E. 9</w:t>
      </w:r>
    </w:p>
    <w:p>
      <w:r>
        <w:t>L'ODM est donc invité à régler les conditions de résidence en Suisse du recourant, conformément aux dispositions de la LEtr régissant l'admission provisoire (art. 44 al. 2 LAsi).</w:t>
      </w:r>
    </w:p>
    <w:p>
      <w:r>
        <w:rPr>
          <w:b/>
        </w:rPr>
        <w:t>E. 10</w:t>
      </w:r>
    </w:p>
    <w:p>
      <w:r>
        <w:t>Il s'ensuit que le recours doit être admis et la décision de l'ODM du 5 mars 2008 annulée, en tant qu'elle porte sur l'exécution du renvoi.</w:t>
      </w:r>
    </w:p>
    <w:p>
      <w:r>
        <w:rPr>
          <w:b/>
        </w:rPr>
        <w:t>E. 11.1</w:t>
      </w:r>
    </w:p>
    <w:p>
      <w:r>
        <w:t>Vu l'issue de la cause, des frais réduits de procédure devraient être mis à la charge du recourant. Il convient, cependant, à titre exceptionnel de ne pas en percevoir (art. 63 al. 1 PA).</w:t>
      </w:r>
    </w:p>
    <w:p>
      <w:r>
        <w:rPr>
          <w:b/>
        </w:rPr>
        <w:t>E. 11.2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l'intéressé a donc droit à des dépens pour ce qui concerne sa conclusion subsidiaire en matière d'exécution du renvoi. En l'absence d'un décompte de prestations, dans la mesure également où la mandataire a rédigé un recours de deux pages et essentiellement deux brefs courriers de transmission de documents, le Tribunal fixe l'indemnité due, à titre de dépens, à Fr. 250.- (non soumis à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