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E-2235/2013 vom 15. Januar 2014</w:t>
      </w:r>
    </w:p>
    <w:p>
      <w:r>
        <w:t>Bundesverwaltungsgericht, 2014-01-15, DE</w:t>
      </w:r>
    </w:p>
    <w:p>
      <w:r>
        <w:rPr>
          <w:b/>
        </w:rPr>
        <w:t xml:space="preserve">Quelle: </w:t>
      </w:r>
      <w:r>
        <w:t>https://mcp.opencaselaw.ch/entscheid/bvger_E-2235_2013</w:t>
      </w:r>
    </w:p>
    <w:p>
      <w:r>
        <w:t>FR: TAF E-2235/2013 du 15 janvier 2014</w:t>
      </w:r>
    </w:p>
    <w:p>
      <w:r>
        <w:t>IT: TAF E-2235/2013 del 15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Diese kann die Beschwerde auch aus anderen als den geltend gemachten Gründen gutheissen oder den angefochtenen Entscheid im Ergebnis mit einer Begründung bestätigen, die von derjenigen der Vorinstanz abweicht (vgl. BVGE 2007/41 E. 2 S. 529 f.).</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alle Verfahren (auch solche im Vollzugsstadium) in Wiedererwägung, dies unbesehen der konkreten Umstände im Einzelfall. Das vorinstanzliche Vorgehen geht auf zwei bekannt gewordene Vorfälle zurück: Die sri-lankischen Behörden hatten offenbar tamilische Rückkehrer bei der Wiedereinreise in Haft genommen. Daraufhin stellte das BFM in Aussicht, nicht nur diese beiden Vorfälle, sondern auch eine allfällige Veränderung der allgemeinen Situation in Sri Lanka vertieft abzuklären. Das Bundesamt geht damit selbst davon aus, dass der Sachverhalt, wie er der angefochtenen Verfügung vom 21. März 2013 zugrunde liegt, offensichtlich nicht vollständig festgestellt ist.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In casu liegt der Mangel in einer unvollständigen Sachverhaltsfeststellung, wobei die unterbliebenen notwendigen Abklärungen eine relativ auf­wändige und umfangreiche Beweiserhebung darstellen, weshalb sich eine Kassation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dieser Sachlage zum heutigen Zeit­punkt nicht näher einzugehen.</w:t>
      </w:r>
    </w:p>
    <w:p>
      <w:r>
        <w:rPr>
          <w:b/>
        </w:rPr>
        <w:t>E. 4.1</w:t>
      </w:r>
    </w:p>
    <w:p>
      <w:r>
        <w:t>Bei diesem Ausgang des Verfahrens sind keine Kosten zu erheben (Art. 63 Abs. 1 und 2 VwVG). Der geleistete Kostenvorschuss von Fr. 600.- ist dem Beschwerdeführer zurückzuerstatten.</w:t>
      </w:r>
    </w:p>
    <w:p>
      <w:r>
        <w:rPr>
          <w:b/>
        </w:rPr>
        <w:t>E. 4.2</w:t>
      </w:r>
    </w:p>
    <w:p>
      <w:r>
        <w:t>Der Rechtsvertreter hat zwar keine Kostennote eingereicht, doch lässt sich der vorstehend erwähnte Aufwand zuverlässig abschätzen. Unter Berücksichtigung der massgebenden Bemessungsfaktoren (Art. 9-13 des Reglements vom 21. Februar 2008 über die Kosten und Entschädigungen vor dem Bundesverwaltungsgericht [VGKE, SR 173.320.2]) hat das BFM dem Beschwerdeführer eine Parteientschädigung in der Höhe von Fr. 800.-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