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E-2216/2016 vom 19. April 2016</w:t>
      </w:r>
    </w:p>
    <w:p>
      <w:r>
        <w:t>Bundesverwaltungsgericht, 2016-04-19, DE</w:t>
      </w:r>
    </w:p>
    <w:p>
      <w:r>
        <w:rPr>
          <w:b/>
        </w:rPr>
        <w:t xml:space="preserve">Quelle: </w:t>
      </w:r>
      <w:r>
        <w:t>https://mcp.opencaselaw.ch/entscheid/bvger_E-2216_2016</w:t>
      </w:r>
    </w:p>
    <w:p>
      <w:r>
        <w:t>FR: TAF E-2216/2016 du 19 avril 2016</w:t>
      </w:r>
    </w:p>
    <w:p>
      <w:r>
        <w:t>IT: TAF E-2216/2016 del 19 aprile 2016</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Aufgrund der Zuweisung des Beschwerdeführers in die Testphase des Verfahrenszentrums Zürich kommt die Verordnung vom 4. September 2013 über die Durchführung von Testphasen zu den Beschleunigungsmassnahmen im Asylbereich (TestV, SR 142.318.1) zur Anwendung (Art. 1 und Art. 4 Abs. 1 TestV).</w:t>
      </w:r>
    </w:p>
    <w:p>
      <w:r>
        <w:rPr>
          <w:b/>
        </w:rPr>
        <w:t>E. 1.3</w:t>
      </w:r>
    </w:p>
    <w:p>
      <w:r>
        <w:t>Der Beschwerdeführer ist als Verfügungsadressat zur Beschwerdeführung legitimiert (Art. 48 VwVG). Auf die frist- und formgerecht eingereichte Beschwerde ist einzutreten (Art. 112 Abs. 3 AsylG i.V.m. Art. 38 TestV und Art. 52 Abs. 1 VwVG).</w:t>
      </w:r>
    </w:p>
    <w:p>
      <w:r>
        <w:rPr>
          <w:b/>
        </w:rPr>
        <w:t>E. 2.1</w:t>
      </w:r>
    </w:p>
    <w:p>
      <w:r>
        <w:t>Mit Beschwerde kann die Verletzung von Bundesrecht sowie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w:t>
      </w:r>
    </w:p>
    <w:p>
      <w:r>
        <w:t>Die Vorinstanz hat die fehlende Asylrelevanz und den Massstab des Glaubhaftmachens nicht verkannt und auf den vorliegenden Fall korrekt angewendet. Ihre Schlussfolgerungen sind weder in tatsächlicher noch in rechtlicher Hinsicht zu beanstanden. In der angefochtenen Verfügung wird einlässlich begründet, weshalb der Grossteil der Aussagen nicht von Asylrelevanz und ferner widersprüchlich und unglaubhaft ausgefallen ist. Die Einwände des Beschwerdeführers auf Beschwerdeebene - er bevorzuge es, in der Schweiz inhaftiert zu werden, als in den Iran zurückzugehen, er sei zwar im Iran nicht getauft worden, aber wirklich ein gläubiger Christ - lassen keine andere Beurteilung als diejenige der Vorinstanz zu und sind offensichtlich nicht geeignet, die Flüchtlingseigenschaft nachzuweisen oder zumindest glaubhaft zu machen. Es gelingt ihm nicht aufzuzeigen, inwiefern die vorinstanzliche Beweiswürdigung Bundesrecht verletzen oder zu einer rechtsfehlerhaften Sachverhaltsfeststellung führen soll. Solches ist auch nicht ersichtlich. Um Wiederholungen zu vermeiden, ist auf die zutreffenden Ausführungen der Vorinstanz zu verweisen. Das Asylgesuch wurde zu Recht abgelehnt.</w:t>
      </w:r>
    </w:p>
    <w:p>
      <w:r>
        <w:rPr>
          <w:b/>
        </w:rPr>
        <w:t>E. 5</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(BVGE 2009/50 E. 9 S. 733). Die Wegweisung wurde zu Recht angeordnet.</w:t>
      </w:r>
    </w:p>
    <w:p>
      <w:r>
        <w:rPr>
          <w:b/>
        </w:rPr>
        <w:t>E. 6.1</w:t>
      </w:r>
    </w:p>
    <w:p>
      <w:r>
        <w:t>Ist der Vollzug der Wegweisung nicht zulässig, nicht zumutbar oder nicht möglich, so regelt das Staatssekretariat das Anwesenheitsverhältnis nach den gesetzlichen Bestimmungen über die vorläufige Aufnahme von Ausländern (Art. 44 Abs. 2 AsylG; Art. 83 Abs. 1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Anhaltspunkte dafür, dass er für den Fall einer Ausschaffung in den Iran dort mit beachtlicher Wahrscheinlichkeit einer nach Art. 3 EMRK oder Art. 1 FoK verbotenen Strafe oder Behandlung ausgesetzt wäre. Der Vollzug der Wegweisung ist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Die im Iran herrschende allgemeine Lage zeichnet sich nicht durch eine Situation allgemeiner Gewalt aus, obwohl die Staatsordnung als totalitär zu bezeichnen, die Bevölkerung sicherheitspolizeilicher Überwachung ausgesetzt ist und die allgemeine Situation somit in verschiedener Hinsicht problematisch sein kann (statt vieler Urteil des BVGer E-3966/2015 vom 24. Februar 2016 E. 7.2). Selbst unter Berücksichtigung dieser Umstände wird der Vollzug von Wegweisungen in den Iran nach konstanter Praxis als zumutbar erachtet. Auch wenn die Arbeitsmarktsituation im Iran für junge Menschen nicht einfach ist, ist es dem Beschwerdeführer zuzumuten, nach seiner kurzen Auslandabwesenheit (Ausreise im Oktober 2015, SEM-Akten, A7, S. 6) wieder in einem seiner Berufe Fuss zu fassen. Beim Beschwerdeführer handelt es sich um einen jungen und gesunden Mann (z. B. SEM-Akten, A16, S. 1) mit Beziehungsnetz (z. B. SEM-Akten, A7, S. 5), fundierter Schulbildung und Berufserfahrung (insb. SEM-Akten, A32, S. 3). Gemäss ständiger Praxis des Bundesverwaltungsgerichts stellen blosse soziale und wirtschaftliche Schwierigkeiten jedenfalls keine existenzbedrohende Situation dar, die gegen die Zumutbarkeit des Vollzugs sprechen könnten (BVGE 2014/26 E. 7.6 mit weiteren Verweisen). Der Vollzug der Wegweisung ist zumutbar.</w:t>
      </w:r>
    </w:p>
    <w:p>
      <w:r>
        <w:rPr>
          <w:b/>
        </w:rPr>
        <w:t>E. 6.4</w:t>
      </w:r>
    </w:p>
    <w:p>
      <w:r>
        <w:t>Nach Art. 83 Abs. 2 AuG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6.5</w:t>
      </w:r>
    </w:p>
    <w:p>
      <w:r>
        <w:t>Die Vorinstanz hat den Vollzug demnach zu Recht als zulässig, zumutbar und möglich erachtet. Damit fällt die Anordnung einer vorläufigen Aufnahme ausser Betracht (Art. 83 Abs. 1-4 AuG).</w:t>
      </w:r>
    </w:p>
    <w:p>
      <w:r>
        <w:rPr>
          <w:b/>
        </w:rPr>
        <w:t>E. 7</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auch sonst nicht zu beanstanden ist (Art. 106 AsylG und Art. 49 VwVG). Die Beschwerde ist abzuweisen. Damit sind der Antrag betreffend Datenweitergabe und Wiederherstellung der aufschiebenden Wirkung gegenstandslos geworden. Was den Antrag auf Erlass einer separaten Verfügung bei bereits erfolgter Datenweitergabe anbelangt, ist festzustellen, dass den Akten keine entsprechenden Hinweise zu entnehmen sind.</w:t>
      </w:r>
    </w:p>
    <w:p>
      <w:r>
        <w:rPr>
          <w:b/>
        </w:rPr>
        <w:t>E. 9.1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im Sinne von Art. 65 Abs. 2 VwVG nicht stattgegeben werden.</w:t>
      </w:r>
    </w:p>
    <w:p>
      <w:r>
        <w:rPr>
          <w:b/>
        </w:rPr>
        <w:t>E. 9.2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