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E-2215/2018 vom 17. Mai 2018</w:t>
      </w:r>
    </w:p>
    <w:p>
      <w:r>
        <w:t>Bundesverwaltungsgericht, 2018-05-17, DE</w:t>
      </w:r>
    </w:p>
    <w:p>
      <w:r>
        <w:rPr>
          <w:b/>
        </w:rPr>
        <w:t xml:space="preserve">Quelle: </w:t>
      </w:r>
      <w:r>
        <w:t>https://mcp.opencaselaw.ch/entscheid/bvger_E-2215_2018</w:t>
      </w:r>
    </w:p>
    <w:p>
      <w:r>
        <w:t>FR: TAF E-2215/2018 du 17 mai 2018</w:t>
      </w:r>
    </w:p>
    <w:p>
      <w:r>
        <w:t>IT: TAF E-2215/2018 del 17 maggio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Der Wegweisungsvollzug bildet nicht mehr Gegenstand der Beschwerde, nachdem die Vorinstanz die vorläufige Aufnahme angeordnet hat.</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Der Beschwerdeführer wirft der Vorinstanz verschiedene Rechtsverletzungen vor. Er rügt Gehörsverletzungen inklusive Akteneinsichtsrecht (E. 4), eine Verletzung der Pflicht zur vollständigen und richtigen Abklärung des rechtserheblichen Sachverhaltes (E. 5) sowie die Verletzung weiterer Gesetzesbestimmungen (E. 7). Diese Rügen sind vorab zu prüfen, da sie zu einer Kassation der angefochtenen Verfügung führen können. Die Vorbringen werden allerdings weitgehend ohne nähere Begründung und repetitiv getätigt. Soweit sich die Beschwerde in allgemeinen Ausführungen erschöpft, ohne einen konkreten Bezug zur vorliegenden Beschwerdesache erkennen zu lassen, ist darauf nicht weiter einzugehen.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Aus der angefochtenen Verfügung ergeben sich auch nach Prüfung der Akten keine Anhaltspunkte, die den Schluss zuliessen, die Vorinstanz habe irgendeine dieser Pflichten verletzt. Die Rügen der Gehörsverletzung gehen fehl. Die Verfügung der Vorinstanz ist - entgegen den Zitaten aus den Befragungsprotokollen auf Beschwerdeebene und den Rügen unerwähnter Details, wie namentlich ein Angriff der YPG auf ein Dorf nach der Ausreise des Beschwerdeführers - ausreichend begründet, zumal sie sich nicht mit jedem einzelnen Vorbringen auseinandersetzen muss. Dass eine sachgerechte Anfechtung möglich war, zeigt die Beschwerde selbst. Der Begründungspflicht ist mithin Genüge getan.</w:t>
      </w:r>
    </w:p>
    <w:p>
      <w:r>
        <w:rPr>
          <w:b/>
        </w:rPr>
        <w:t>E. 4.3</w:t>
      </w:r>
    </w:p>
    <w:p>
      <w:r>
        <w:t>Was die Akteneinsicht anbelangt, war der Rechtsvertreter nach der Antwort der Vorinstanz auf sein Akteneinsichtsgesuch offensichtlich nicht der Ansicht, die Akten seien unvollständig zugestellt worden, ansonsten er umgehend hätte remonstrieren müssen, was nicht geschehen ist (Urteil BVGer E-1670/2014 vom 14. April 2014 E. 5.4). Bei den in Frage stehenden Aktenstücken (A25/2 [E-Mail-Korrespondenz betreffend die interne Suche nach Dokumenten], A26/3 [ebd.], A28/1 [ebd.] und A29/2 [ebd.]) handelt es sich ohnehin um verwaltungsinterne Akten, womit kein Anspruch auf Einsicht besteht. Dies, weil verhindert werden soll, dass die ganze Meinungsbildung der Verwaltung vor der Öffentlichkeit ausgebreitet wird (BGE 122 I 153 E. 6a). Mithin sind die Anträge auf vollumfängliche Akteneinsicht in A25/2, A26/3, A28/1 und A29/2, rechtliches Gehör hierzu sowie anschliessende Beschwerdeergänzung abzuweisen und es ist festzustellen, dass die Vorinstanz das Akteneinsichtsrecht nicht verletzt hat. Im Übrigen wurde dem Beschwerdeführer und seinem Rechtsvertreter das Ergebnis der erfolglosen internen Dokumentensuche transparent kommuniziert, was die Beschwerde selbst zeigt (Beschwerde, S. 5, Schreiben des SEM vom 21. und 23. August 2017 an den Rechtsvertreter des Beschwerdeführers, SEM-Akten, A30/2, Schreiben des SEM an das Strassenverkehrsamt Aarau vom 23. August 2017, SEM-Akten, A32/3, angefochtene Verfügung, "interne Suchaktionen", S. 2). Die Vorinstanz hat die Dokumente nicht "widerrechtlich ignoriert". Dem Beschwerdeführer ist auch kein Nachteil aus dem Verlust der Dokumente entstanden (siehe etwa SEM-Akten, A32/3, Schreiben, mittels dessen das SEM das Strassenverkehrsamt ausdrücklich darauf hinweist, durch den Verlust der Dokumente "der antragstellenden Person keinen Nachteil erwachsen zu lassen und seinem Gesuch zur Umschreibung in einen schweizerischen Führerausweis stattzugeben", SEM-Akten, A32/3, S. 2). Ferner ist auch die Paginierungs- und Aktenführungspflicht nicht verletzt, was bereits die Informationen zeigen, die dem Rechtsvertreter aufgrund des Aktenverzeichnisses vorliegen. Die auf Beschwerdeebene hierzu zitierte Rechtsprechung ist nicht einschlägig (Beschwerde, S. 4). Andere Gehörsverletzungen sind nicht ersichtlich. Die Rüge der Gehörsverletzung geht fehl. Die entsprechenden Anträge sind abzuweisen.</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5.2</w:t>
      </w:r>
    </w:p>
    <w:p>
      <w:r>
        <w:t>Die Rüge der rechtsfehlerhaften Sachverhaltsfeststellung geht ebenfalls fehl. Der Rüge, die Vorinstanz habe es weitgehend unterlassen, die eingereichten Beweismittel zu würdigen, ist aktenwidrig. So hat die Vorinstanz alle eingereichten Unterlagen genau aufgelistet und - soweit rechtserheblich - berücksichtigt. Ferner kann der Beschwerdeführer vorliegend - wie zu zeigen sein wird (E. 7) - aus den Akten anderer Familienangehöriger nichts zu seinen Gunsten ableiten. Dass die Vorinstanz das Dossier des Bruders erwähnt hat, bestätigt die Beschwerde selbst ("Das SEM hat zwar in der angefochtenen Verfügung den Bruder des Beschwerdeführers und dessen N-Nummer ([...]) erwähnt", Beschwerde, S. 7). Vor diesem Hintergrund ist davon auszugehen, dass die Vorinstanz - sofern notwendig - die entsprechenden Dossiers beigezogen hat. Im Übrigen geht es vorliegend - im Unterschied zu der auf Beschwerdeebene zitierten Rechtsprechung (Beschwerde, S. 7) - nicht um ein konkretes Geltendmachen einer entsprechenden Reflexverfolgung, die einen Aktenbeizug von Amtes wegen aufdrängen würde. Es sind auch keine Anhaltspunkte ersichtlich, dass der Beschwerdeführer aus einer Familie mit erhöhtem, aktivem politischen Profil stammt. Es ist somit vorliegend nicht zu beanstanden, dass sich die Vorinstanz nicht explizit auf Verweiserdossiers beruft. Im Übrigen hat der Beschwerdeführer die Flüchtlingseigenschaft in eigener Person darzulegen oder zumindest glaubhaft zu machen. Es ist ferner ebenfalls festzustellen, dass im vorliegenden Verfahren eine Verletzung der Begründungspflicht nicht ersichtlich ist, weil sich die Vorinstanz mit den entscheidwesentlichen Vorbringen auseinandergesetzt hat. Zusätzliche Abklärungen würden weder zu neuen sachdienlichen Erkenntnissen führen noch wären sie im vorinstanzlichen Verfahren entscheiderheblich gewesen. In antizipierter Beweiswürdigung ist festzustellen, dass eine ergänzende, vertiefte Sachverhaltsfeststellung bei der Beurteilung des vorliegenden Verfahrens nicht zu einem anderen Entscheid führen kann, weshalb auch aus diesem Grund die entsprechenden Anträge abzuweisen sind. Im Übrigen kann der Beschwerdeführer - der vor Ergehen der angefochtenen Verfügung keine formelle Rechtsverzögerungsbeschwerde eingereicht hat - aus der Verfahrensdauer nichts zu seinen Gunsten ableiten, erst recht keine Verletzung der "Abklärungspflicht". Wie im Folgenden zu zeigen sein wird, sind auch die Beweiswürdigung und die Rechtsanwendung der Vorinstanz nicht zu beanstanden.</w:t>
      </w:r>
    </w:p>
    <w:p>
      <w:r>
        <w:rPr>
          <w:b/>
        </w:rPr>
        <w:t>E. 6.1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w:t>
      </w:r>
    </w:p>
    <w:p>
      <w:r>
        <w:rPr>
          <w:b/>
        </w:rPr>
        <w:t>E. 6.2</w:t>
      </w:r>
    </w:p>
    <w:p>
      <w:r>
        <w:t>Keine Flüchtlinge sind Personen, die wegen Wehrdienstverweigerung oder Desertion ernsthaften Nachteilen ausgesetzt sind oder begründete Furcht haben, solchen Nachteilen ausgesetzt zu werden (Art. 3 Abs. 3 AsylG). Vorbehalten bleibt die Einhaltung des Abkommens vom 28. Juli 1951 über die Rechtsstellung der Flüchtlinge (Flüchtlingskonvention, SR 0.142.30).</w:t>
      </w:r>
    </w:p>
    <w:p>
      <w:r>
        <w:rPr>
          <w:b/>
        </w:rPr>
        <w:t>E. 7</w:t>
      </w:r>
    </w:p>
    <w:p>
      <w:r>
        <w:t>Die Vorinstanz hat die fehlende Asylrelevanz nicht verkannt und auf den vorliegenden Fall korrekt angewendet. Ihre Schlussfolgerungen sind weder in tatsächlicher noch in rechtlicher Hinsicht zu beanstanden. Die Rechtsmitteleingabe erschöpft sich in weitschweifigen und allgemeinen Erklärungsversuchen, womit es ihr nicht gelingt aufzuzeigen, inwiefern die vorinstanzliche Beweiswürdigung Bundesrecht verletzen oder zu einer rechtsfehlerhaften Sachverhaltsfeststellung führen soll. Solches ist auch nicht ersichtlich. Die Vorinstanz hat zutreffend festgestellt, dass im Rahmen von Krieg oder Situationen allgemeiner Gewalt erlittene Nachteile keine Verfolgung im Sinne des Asylgesetzes darstellen, mithin die diesbezüglichen Vorbringen des Beschwerdeführers keine Asylrelevanz zu entfalten vermögen. Was die angebliche Sorge vor einer Rekrutierung seitens der YPG anbelangt, ist der Vorinstanz ebenfalls darin beizupflichten, dass eine Dienstverweigerung bei der YPG keine asylrelevante Verfolgung darzustellen vermag (statt vieler Urteile des BVGer E-1187/2018 vom 26. April 2018 E. 4, D-5287/2015 vom 7. Juli 2016 E. 6.3.2 oder D-7292/2014 vom 22. Mai 2015 E. 4.4.2). Im Übrigen will der Beschwerdeführer auch keinen persönlichen Kontakt mit der YPG gehabt haben (SEM-Akten, A33, S. 8, F60 f.). Vor diesem Hintergrund musste die Vorinstanz nicht auf die Intensität der disziplinarischen Massnahmen seitens der YPG eingehen. Die entsprechende Rüge geht ins Leere. So auch die Beschwerdeausführungen und Verweise auf einen Bericht aus dem Jahr 2015. Sodann trifft zu, dass Ajnabi in Syrien keiner Kollektivverfolgung unterliegen und - im Unterschied zu Maktumin - seit 2011 die Möglichkeit haben, die syrische Staatsangehörigkeit zu beantragen (z. B. Urteil des BVGer D-7624/2009 vom 3. März 2011 E. 6.4). Der Erklärung, der Beschwerdeführer habe die syrische Staatsbürgerschaft nicht beantragt, weil er befürchtet habe, zwangsrekrutiert zu werden, ändert hieran nichts. Dies untermauert vielmehr, dass er keinen Militärdienst leisten musste, was er selbst bestätigte (SEM-Akten, A33, S. 5, F27). Im Übrigen steht im heutigen Zeitpunkt noch gar nicht fest, ob er als diensttauglich erachtet und dementsprechend überhaupt der Wehrpflicht unterstehen würde. Ferner liegen Auskünfte vor, dass die Regierungstruppen auf die Rekrutierung kurdischstämmiger Männer zurzeit ohnehin weitgehend verzichten (hierzu statt vieler Urteile des BVGer E-4076/2017 vom 1. September 2017 E. 4.3, D-5018/2015 vom 26. Oktober 2015 E. 5.2 und Danish Immigration Service, Syria: Military Service, Mandatory Self-Defence Duty and Recruitment to the YPG, 26. Februar 2015, § 2.2, S. 15, vor diesem Hintergrund greifen auch die sich auf einen Bericht aus dem Jahr 2013 gestützten Beschwerdeausführungen zu kurz, insb. Beschwerde, S. 13). So bleibt es denn auch auf Beschwerdeebene bei einer ins Leere gehenden Vermutung, dass der Beschwerdeführer "bei der Erlangung der syrischen Staatsbürgerschaft von der syrischen Regierung in den Militärdienst zwangsrekrutiert werden könnte" (Beschwerde, S. 8). Auf Beschwerdeebene wird in diesem Zusammenhang insbesondere auf das Urteil des Bundesverwaltungsgerichts BVGE 2015/3 verwiesen (insb. Beschwerde, S. 17 f.). Hierin wird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jedoch nicht; diese ist indessen dann anzuerkennen, wenn sie zu einer Verfolgung im Sinne von Art. 3 Abs. 1 AsylG führt.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Der Beschwerdeführer verkennt, dass eine vergleichbare Konstellation vorliegend nicht gegeben ist. Den Akten lassen sich keine Anhaltspunkte für gezielte Verfolgungsmassnahmen der syrischen Behörden gegen den Beschwerdeführer vor seiner Ausreise entnehmen und es besteht kein Grund zur Annahme, dass er deren Aufmerksamkeit erregt haben könnte (so bestätigt er beispielsweise selbst, nie Schwierigkeiten mit den syrischen Behörden gehabt zu haben, SEM-Akten, A33, S. 7, F51 f.). Es kann auch ausgeschlossen werden, dass er einer in erhöhtem Masse oppositionell aktiven Familie entstammt. Ferner ist - wie bereits erwähnt - davon auszugehen, dass die Regierungstruppen auf die Rekrutierung kurdischstämmiger Männer zurzeit weitgehend verzichten, um Spannungen mit den kurdischen Truppen zu vermeiden. Da die Position der syrischen Armee geschwächt sei, verzichte man auf eine Konfrontation mit der YPG (hierzu statt vieler Urteile des BVGer E-4076/2017 vom 1. September 2017 E. 4.3, D-5018/2015 vom 26. Oktober 2015 E. 5.2 und Danish Immigration Service, Syria: Military Service, Mandatory Self-Defence Duty and Recruitment to the YPG, 26. Februar 2015, § 2.2, S. 15). Das Risiko einer Rekrutierung durch die Syrische Arabische Armee ist nach dem Gesagten als gering einzuschätzen. Diese Frage kann jedoch vorliegend offen bleiben, zumal der Beschwerdeführer neben seiner Ethnie im Zusammenhang mit der ihm angeblich drohenden Rekrutierung keine weiteren Gründe vorgebracht hat, die auf ein asylrelevantes Motiv schliessen liessen und, indem er sich nicht hat einbürgern lassen, gemäss eigenen Angaben keinen Militärdienst zu leisten hat (SEM-Akten, A33, S. 5, F27). Schliesslich sind auch keine subjektiven Nachfluchtgründe ersichtlich. Um Wiederholungen zu vermeiden, ist auf die zutreffenden Ausführungen der Vorinstanz zu verweisen, die zu Recht das Asylgesuch abgelehnt hat.</w:t>
      </w:r>
    </w:p>
    <w:p>
      <w:r>
        <w:rPr>
          <w:b/>
        </w:rPr>
        <w:t>E. 8</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9</w:t>
      </w:r>
    </w:p>
    <w:p>
      <w:r>
        <w:t>Aus diesen Erwägungen ergibt sich, dass die angefochtene Verfügung Bundesrecht nicht verletzt und den rechtserheblichen Sachverhalt richtig und vollständig feststellt (Art. 106 Abs. 1 AsylG). Die Beschwerde ist abzuweisen. Nach dem Gesagten besteht auch kein Anlass zur Rückweisung der Sache an die Vorinstanz, der entsprechende Beschwerdeantrag ist ebenfalls abzuweisen.</w:t>
      </w:r>
    </w:p>
    <w:p>
      <w:r>
        <w:rPr>
          <w:b/>
        </w:rPr>
        <w:t>E. 10.1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10.2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beziehungsweise der Eventualantrag, es sei eine Frist zur Bezahlung des Kostenvorschusses anzusetzen, gegenstandslos geworden. Der Antrag auf Ansetzung einer Frist zur Einreichung der Sozialhilfebestätigung ist mit deren Einreichung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