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E-2208/2017 vom 10. Mai 2017</w:t>
      </w:r>
    </w:p>
    <w:p>
      <w:r>
        <w:t>Bundesverwaltungsgericht, 2017-05-10, DE</w:t>
      </w:r>
    </w:p>
    <w:p>
      <w:r>
        <w:rPr>
          <w:b/>
        </w:rPr>
        <w:t xml:space="preserve">Quelle: </w:t>
      </w:r>
      <w:r>
        <w:t>https://mcp.opencaselaw.ch/entscheid/bvger_E-2208_2017</w:t>
      </w:r>
    </w:p>
    <w:p>
      <w:r>
        <w:t>FR: TAF E-2208/2017 du 10 mai 2017</w:t>
      </w:r>
    </w:p>
    <w:p>
      <w:r>
        <w:t>IT: TAF E-2208/2017 del 10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gegen Dispositiv Ziffer 1 (Flüchtlingseigenschaft), Ziffer 2 (Asyl) und Ziffer 3 (Wegweisung) der angefochtenen Verfügung. Insoweit die Beschwerdeführenden beantragen, es sei die Unzulässigkeit der Wegweisungshindernisse festzustellen, ist auf die Beschwerde nicht einzutreten. An der Beurteilung des Rechtsbegehrens betreffend Feststellung der Unzulässigkeit des Wegweisungsvollzugs besteht kein schutzwürdiges Interesse, da die Vorinstanz die Beschwerdeführenden wegen unzumutbaren Wegweisungsvollzugs vorläufig aufgenommen hat und die Vollzugshindernisse alternativer Natur sind (vgl. BVGE 2009/51 E. 5.4).</w:t>
      </w:r>
    </w:p>
    <w:p>
      <w:r>
        <w:rPr>
          <w:b/>
        </w:rPr>
        <w:t>E. 3.1</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3.2</w:t>
      </w:r>
    </w:p>
    <w:p>
      <w:r>
        <w:t>Nachfolgend wird hauptsächlich auf die Vorbringen des Beschwerdeführers eingegangen, da die Beschwerdeführerin und die Kinder keine eigenen asylrelevanten Vorbringen geltend machen.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begründet ihren Entscheid damit, der Umstand, dass die Beschwerdeführenden aufgrund der Arbeitsunfähigkeit des Beschwerdeführers in eine finanzielle Notlage geraten seien, genüge nicht, um ernsthafte Nachteile im Sinne von Art. 3 AsylG zu begründen. Auch die Angst, die Kinder könnten aufgrund der prekären Sicherheitslage in F._______ entführt werden, führe nicht zu einer begründeten Furcht gemäss Art. 3 AsylG.</w:t>
      </w:r>
    </w:p>
    <w:p>
      <w:r>
        <w:rPr>
          <w:b/>
        </w:rPr>
        <w:t>E. 4.4</w:t>
      </w:r>
    </w:p>
    <w:p>
      <w:r>
        <w:t>Die Beschwerdeführenden bringen vor, es sei korrekt, dass sich aus ihren bisherigen Vorbringen keine Verfolgung im Sinne von Art. 3 AsylG ableiten lasse. In der Zwischenzeit hätten sie jedoch vom Vater des Beschwerdeführers erfahren, dass sich der Vorgesetzte des Beschwerdeführers bei ihm über den Beschwerdeführer erkundigt habe. Der Vorgesetzte habe verlangt, dass der Beschwerdeführer entweder wieder zur Arbeit erscheine oder ihm seinen Polizeiausweis aushändige, ansonsten müsse er mit Konsequenzen rechnen. Nachdem der Beschwerdeführer erfolglos versucht habe, den Vorgesetzten umzustimmen, habe er einen Arbeitskollegen gebeten, mit diesem zu sprechen. Dieser habe dem Beschwerdeführer berichtet, dass der Vorgesetzte mit dem Ausweis beabsichtige seinen Lohn zu beziehen. Zudem habe der Kollege ihm mitgeteilt, dass gegen ihn ein Haftbefehl erlassen worden sei, wonach er festgenommen und nach E._______ ausgeliefert werden solle. Aus diesen Gründen hätten die Beschwerdeführenden bei einer Rückkehr in den Irak begründete Furcht vor ernsthaften Nachteilen im Sinne von Art. 3 AsylG.</w:t>
      </w:r>
    </w:p>
    <w:p>
      <w:r>
        <w:rPr>
          <w:b/>
        </w:rPr>
        <w:t>E. 4.5</w:t>
      </w:r>
    </w:p>
    <w:p>
      <w:r>
        <w:t>Was die Vorfluchtgründe anbelangt, so halten diese - wie bereits von der Vorinstanz zutreffend festgestellt und von den Beschwerdeführenden in der Beschwerde anerkannt - den Anforderungen an Art. 3 AsylG nicht stand. Auf Beschwerdestufe reichten die Beschwerdeführenden ein Foto eines Haftbefehls vom (...) ein und machten erstmals geltend, der Beschwerdeführer werde von den irakischen Behörden gesucht. Gemäss der Übersetzung des eingereichten Beweismittels handelt es sich um eine Mitteilung des irakischen Innenministeriums an die Mitglieder des juristischen Protokolls und alle Polizeikräfte mit dem Inhalt, es sei gegen den Beschwerdeführer durch die Untersuchungsdirektion von E._______ und den juristischen Repräsentanten der Provinz E._______ Beschwerde erhoben worden und sie seien befugt, den Beschwerdeführer gemäss Art. 222 des "irakischen Gesetzes" festzunehmen. Bereits die Erklärung des Beschwerdeführers, wie er an das Dokument gelangt sei, überzeugt nicht. Bei einem Haftbefehl handelt es sich um ein amtsinternes Dokument, das weder der Familie eines Gesuchten noch diesem selbst ausgehändigt wird (vgl. auch Urteil des BVGer D-6404/2016 vom 2. Dezember 2016 E. 5.2). Es ist nicht nachvollziehbar, dass der Arbeitskollege seinem Vorgesetzten das Schreiben weggenommen haben soll und sich so selbst in Gefahr brachte, bloss um einem Arbeitskollegen zu helfen. Der Haftbefehl liegt zudem nur in Form eines Fotos vor und weist bereits deshalb einen geringen Beweiswert auf. Überdies fehlen im Stempel die Datumsangaben und es wird auf eine Strafnorm verwiesen (irakisches Gesetz), die nicht existiert. Ferner erstaunt, dass der Haftbefehl vom (...) datiert. Ein derartiges Verfolgungsinteresse des Innenministeriums - knapp vier Jahre nach Beendigung der Arbeit und zwei Jahre nach der Ausreise des Beschwerdeführers - ist nicht nachvollziehbar. Ebenso ist in Bezug auf das Datum auffallend, dass der Haftbefehl aus dem Jahr 2017 vom angeblichen Innenminister Mohammed Salem al-Ghabban unterschrieben wurde, obwohl dieser bereits am 5. Juli 2016 von seinem Amt zurückgetreten ist und der Posten neu von Qasim Mohammad Jalal al-Araji bekleidet wurde (vgl. Al Arabia, New Iraqi Minister of Interior: from pro-Saddam to pro-Iran, 31.1.2017, &lt;http://english.alarabiya.net/en/News/middle-east/2017/01/31/New-Iraqi-Minister-of-Interior-from-pro-Saddam-to-pro-Iran.html&gt;, abgerufen am 4.5.2017). Die im Zusammenhang mit dem Haftbefehl geltend gemachten Vorbringen erscheinen somit als nachgeschoben und unglaubhaft, zumal auch nicht plausibel ist, wie der Arbeitgeber mit dem Polizeiausweis des Beschwerdeführers die angeblich längst eingestellten Lohnzahlungen beziehen sollte (vgl. Akten der Vorinstanz A11/14; F43). Insgesamt haben die Beschwerdeführenden somit auch auf Beschwerdeebene nichts vorgebracht, das geeignet wäre, die Flüchtlingseigenschaft nachzuweisen oder glaubhaft zu machen. Die Vorinstanz hat demnach das Asylgesuch zu Recht abgelehnt.</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Verfügung vom 13. März 2017 die vorläufige Aufnahme der Beschwerdeführenden in der Schweiz angeordnet. Demnach erübrigen sich praxisgemäss Ausführungen zur Zulässigkeit, Zumutbarkeit und Möglichkeit des Wegweisungsvollzugs.</w:t>
      </w:r>
    </w:p>
    <w:p>
      <w:r>
        <w:rPr>
          <w:b/>
        </w:rPr>
        <w:t>E. 6</w:t>
      </w:r>
    </w:p>
    <w:p>
      <w:r>
        <w:t>Aus diesen Erwägungen ergibt sich, dass die angefochtene Verfügung Bundesrecht nicht verletzt und auch sonst nicht zu beanstanden ist (Art. 106 AsylG). Die Beschwerde ist abzuweisen, soweit darauf einzutreten ist.</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