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E-2207/2013 vom 13. März 2014</w:t>
      </w:r>
    </w:p>
    <w:p>
      <w:r>
        <w:t>Bundesverwaltungsgericht, 2014-03-13, DE</w:t>
      </w:r>
    </w:p>
    <w:p>
      <w:r>
        <w:rPr>
          <w:b/>
        </w:rPr>
        <w:t xml:space="preserve">Quelle: </w:t>
      </w:r>
      <w:r>
        <w:t>https://mcp.opencaselaw.ch/entscheid/bvger_E-2207_2013</w:t>
      </w:r>
    </w:p>
    <w:p>
      <w:r>
        <w:t>FR: TAF E-2207/2013 du 13 mars 2014</w:t>
      </w:r>
    </w:p>
    <w:p>
      <w:r>
        <w:t>IT: TAF E-2207/2013 del 13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endgültig (Art. 105 des Asylgesetzes vom 26. Juni 1998 [AsylG, SR 142.31];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Der Beschwerdeführer ist legitimiert (Art. 48 Abs. 1 VwVG), und er hat seine Beschwerde gemäss Aktenlage fristgerecht bei der schweizerischen Botschaft in Colombo eingereicht (Art. 108 Abs. 1 AsylG i.V.m. Art. 21 Abs. 1 VwVG). Zwar hat er seine Beschwerde nicht in einer der Amtssprachen des Bundes verfasst, seiner englischsprachigen Eingabe lassen sich jedoch ohne weiteres Begehren und eine Begründung entnehmen (Art. 52 Abs. 1 VwVG), weshalb auf eine Rückweisung der Eingabe zwecks Übersetzung aus prozessökonomischen Gründen zu verzichten ist. Auf die Beschwerde ist nach dem Gesagten einzutreten.</w:t>
      </w:r>
    </w:p>
    <w:p>
      <w:r>
        <w:rPr>
          <w:b/>
        </w:rPr>
        <w:t>E. 1.4</w:t>
      </w:r>
    </w:p>
    <w:p>
      <w:r>
        <w:t>Die Beschwerde erweist sich indes - wie nachfolgend aufgezeigt - als offensichtlich unbegründet, weshalb darüber in einzelrichterlicher Zuständigkeit mit Zustimmung eines zweiten Richters zu entscheiden ist (Art. 111 Bst. e AsylG). Gleichzeitig ist auf die Durchführung eines Schriftenwechsels zu verzichten und der Beschwerdeentscheid nur summarisch zu begründen (Art. 111a Abs. 1 und 2 AsylG).</w:t>
      </w:r>
    </w:p>
    <w:p>
      <w:r>
        <w:rPr>
          <w:b/>
        </w:rPr>
        <w:t>E. 2</w:t>
      </w:r>
    </w:p>
    <w:p>
      <w:r>
        <w:t>Mit den dringlichen Änderungen des Asylgesetzes vom 28. September 2012 (AS 2012 5359), welche am 29. September 2012 in Kraft getreten sind, wurden unter anderem die Bestimmungen betreffend die Einreichung von Asylgesuchen aus dem Ausland aufgehoben. Die Übergangsbestimmung (Ziffer III) hält jedoch fest, dass für die im Ausland vor dem Inkrafttreten der Änderung vom 28. September 2012 gestellten Gesuche die massgeblichen Artikel (alt Art. 12, 19, 20, 41 Abs. 2, 52 und 68 AsylG) in der bisherigen Fassung anwendbar sind. Demnach sind auf den vorliegenden Fall die bisherigen Bestimmungen betreffend das Asylverfahren anzuwenden.</w:t>
      </w:r>
    </w:p>
    <w:p>
      <w:r>
        <w:rPr>
          <w:b/>
        </w:rPr>
        <w:t>E. 3.1</w:t>
      </w:r>
    </w:p>
    <w:p>
      <w:r>
        <w:t>Ein Asylgesuch kann gemäss alt Art. 19 AsylG im Ausland bei einer schweizerischen Vertretung gestellt werden, die es mit einem Bericht an das Bundesamt überweist (alt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was vorliegend geschehen ist.</w:t>
      </w:r>
    </w:p>
    <w:p>
      <w:r>
        <w:rPr>
          <w:b/>
        </w:rPr>
        <w:t>E. 4.1</w:t>
      </w:r>
    </w:p>
    <w:p>
      <w:r>
        <w:t>Das BFM kann ein im Ausland gestelltes Asylgesuch ablehnen, wenn die asylsuchende Person keine Verfolgung glaubhaft machen kann oder ihr die Aufnahme in einem Drittstaat zugemutet werden kann (vgl. Art. 3, Art. 7 und alt Art. 52 Abs. 2 AsylG).</w:t>
      </w:r>
    </w:p>
    <w:p>
      <w:r>
        <w:rPr>
          <w:b/>
        </w:rPr>
        <w:t>E. 4.2</w:t>
      </w:r>
    </w:p>
    <w:p>
      <w:r>
        <w:t>Gemäss alt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w:t>
      </w:r>
    </w:p>
    <w:p>
      <w:r>
        <w:rPr>
          <w:b/>
        </w:rPr>
        <w:t>E. 4.3</w:t>
      </w:r>
    </w:p>
    <w:p>
      <w:r>
        <w:t>Aus den nachfolgenden Gründen ist die Einschätzung des BFM in der angefochtenen Verfügung, wonach sich aus den wesentlichen Vorbringen des Beschwerdeführers keine aktuelle asylrelevante Gefährdungssituation des Beschwerdeführers ergebe, zu bestätigen.</w:t>
      </w:r>
    </w:p>
    <w:p>
      <w:r>
        <w:rPr>
          <w:b/>
        </w:rPr>
        <w:t>E. 4.4</w:t>
      </w:r>
    </w:p>
    <w:p>
      <w:r>
        <w:t>Vorab ist mit der Vorinstanz festzuhalten, dass der Beschwerdeführer gemäss eigenen Angaben anlässlich der Anhörung auf der Botschaft seit seiner Freilassung aus der Haft keine Schwierigkeiten mit den sri-lankischen Behörden gehabt hat. Auch hat das BFM zu Recht festgestellt, dass gegen ein aktuelles Verfolgungsinteresse des sri-lankischen Staates spricht, dass der Beschwerdeführer ohne Auflagen oder Bedingungen aus der Haft entlassen wurde. Diese Einschätzung wird durch die Tatsache bestätig, dass es in den vergangenen Jahren zu keinen weiteren behördlichen Behelligungen des Beschwerdeführers mehr gekommen ist. Daran vermag das blosse und durch keine Unterlagen belegte Vorbringen in der Beschwerdeeingabe, er werde polizeilich gesucht ("I am in search of Police"), in Berücksichtigung der gesamten Aktenlage nichts zu ändern. Es gibt somit keine konkreten Anhaltspunkte für eine begründete Furcht vor künftiger Verfolgung seitens der Behörden, zumal nicht nachvollziehbar ist, weshalb er von seiner Haftentlassung im August 2011 bis zu seiner Befragung durch die Botschaft im (Monatsangabe) 2012 unbehelligt geblieben, später aber von der Polizei gesucht worden sein soll. Dabei hat das BFM zu Recht in Erwägung gezogen, dass der Beschwerdeführer nicht über ein Profil verfügt, das ihn gegenüber den sri-lankischen Behörden zum heutigen Zeitpunkt noch verdächtig machen könnte, hat er doch selbst vorgebracht, nie Mitglied der LTTE gewesen zu sein oder sich je politisch engagiert zu haben. In diesem Zusammenhang ist im Weiteren auf die veränderte allgemeine Situation in Sri Lanka hinzuweisen. Nach Beendigung des Krieges und der endgültigen Niederlage der LTTE ist die Gefahr für den Beschwerdeführer, erneut der Zugehörigkeit zu diesen verdächtigt zu werden, tendenziell geringer geworden. Zwar haben die sri-lankischen Behörden die Sicherheitsmassnahmen nicht gelockert. Daher besteht die Möglichkeit, überall und jederzeit von sri-lankischem Sicherheitspersonal einer minuziösen Personenkontrolle unterzogen und für eingehendere Abklärungen auf den Posten mitgenommen oder in ein Armeecamp beordert zu werden. Diese sogenannten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Zum anderen ist, sollten sich tatsächlich Unbekannte - wie in der Beschwerdeeingabe vorgebracht - nach seinem Verbleib erkundigt und mit dem Tod gedroht haben, festzuhalten, dass diese Behelligungen mangels Substanziierung nicht als glaubhaft gemacht mithin asylrelevant zu erachten sind. Im Weiteren ist diesbezüglich von der Schutzfähigkeit des sri-lankischen Staates auszugehen, weshalb die Möglichkeit besteht, bei den zuständigen Behörden um Schutz vor Verfolgung seitens Dritter zu ersuchen. Vorliegend ergeben sich keine Anhaltspunkte auf eine Schutzunwilligkeit des sri-lankischen Staates. 6.Somit ist es dem Beschwerdeführer nicht gelungen, eine aktuelle Gefährdung im Sinne von Art. 3 AsylG aufzuzeigen, welche die Bewilligung der Einreise in die Schweiz rechtfertigen würde. Die Schutzbedürftigkeit des Beschwerdeführers im Sinne von alt Art. 20 i.V.m. Art. 3 AsylG ist nicht gegeben. Im Übrigen ist auch eine Beziehungsnähe des Beschwerdeführers zur Schweiz zu verneinen (alt Art. 52 Abs. 2 AsylG). Das BFM hat dem Beschwerdeführer zu Recht die Einreise in die Schweiz nicht bewilligt und das Asylgesuch abgelehnt. 7.Aus diesen Erwägungen ergibt sich, dass die angefochtene Verfügung Bundesrecht nicht verletzt und den rechtserheblichen Sachverhalt richtig und vollständig feststellt (Art. 106 Abs. 1 AsylG). Die Beschwerde ist daher abzuweisen. 8.Bei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