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E-2204/2017 vom 16. Oktober 2017</w:t>
      </w:r>
    </w:p>
    <w:p>
      <w:r>
        <w:t>Bundesverwaltungsgericht, 2017-10-16, FR</w:t>
      </w:r>
    </w:p>
    <w:p>
      <w:r>
        <w:rPr>
          <w:b/>
        </w:rPr>
        <w:t xml:space="preserve">Quelle: </w:t>
      </w:r>
      <w:r>
        <w:t>https://mcp.opencaselaw.ch/entscheid/bvger_E-2204_2017</w:t>
      </w:r>
    </w:p>
    <w:p>
      <w:r>
        <w:t>FR: TAF E-2204/2017 du 16 octobre 2017</w:t>
      </w:r>
    </w:p>
    <w:p>
      <w:r>
        <w:t>IT: TAF E-2204/2017 del 16 ottobre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w:t>
      </w:r>
    </w:p>
    <w:p>
      <w:r>
        <w:t>La recourante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5.2</w:t>
      </w:r>
    </w:p>
    <w:p>
      <w:r>
        <w:t>En l'occurrence, c'est sur la question de l'exigibilité que l'autorité de céans doit porter son examen, eu égard à l'état de santé de la recourante.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5.3</w:t>
      </w:r>
    </w:p>
    <w:p>
      <w:r>
        <w:t>Le Tribunal rappelle que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2009/2 consid. 9.3.2 ; JICRA 2003 n° 24 précitée) L'exécution du renvoi ne sera en revanche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et JICRA 2003 n° 24 précités).</w:t>
      </w:r>
    </w:p>
    <w:p>
      <w:r>
        <w:rPr>
          <w:b/>
        </w:rPr>
        <w:t>E. 5.4</w:t>
      </w:r>
    </w:p>
    <w:p>
      <w:r>
        <w:t>Dans le cas d'espèce, l'intéressée, qui a subi une ablation de la glande thyroïde, est dès lors contrainte de recevoir régulièrement des hormones thyroïdiennes de synthèse, cela pour une période aujourd'hui impossible à évaluer ; par ailleurs, l'intervention chirurgicale étant encore récente, le dosage précis de ce traitement hormonal n'a pu encore avoir lieu, la détermination de cette donnée demandant plus de recul. Le traitement thyroïdien se trouve, en outre, compliqué par les pathologies psychiques dont souffre la recourante, les effets de la médication psychique interagissant avec ceux de ce traitement ; les deux ne peuvent dès lors être considérés séparément. Au plan psychique, l'intéressée est touchée par des troubles graves, à savoir une atteinte schizo-affective, compliquée de symptômes dépressifs et de crises psychotiques périodiques. Depuis son arrivée en Suisse, elle a été internée un grand nombre de fois en raison de ces crises, afin de prévenir un risque auto- ou hétéro-agressif, dont quatre fois en application de mesures PLAFA. Le traitement requis, également de longue haleine, requiert l'administration de médicaments neuroleptiques, dont le détail a été précisé plus haut (Faits, lettre G), ainsi qu'une prise en charge psychothérapeutique régulière. Il s'agit dès lors d'un traitement lourd et complexe, en l'état absolument indispensable, et dont l'absence serait de nature à mettre sérieusement la santé de l'intéressée en danger.</w:t>
      </w:r>
    </w:p>
    <w:p>
      <w:r>
        <w:rPr>
          <w:b/>
        </w:rPr>
        <w:t>E. 5.5</w:t>
      </w:r>
    </w:p>
    <w:p>
      <w:r>
        <w:t>Le système de santé ukrainien, essentiellement inchangé depuis la période soviétique et contrôlé par l'Etat, offre en principe l'assurance-maladie universelle, chaque citoyen étant enregistré auprès d'un médecin de sa région et bénéficiant d'un accès universel et illimité à des soins de santé gratuits. Dans la pratique, toutefois, vu le peu de fonds consacrés par le gouvernement au système de santé, les médecins sont mal payés et les patients habituellement contraints d'acheter leurs propres médicaments et de verser une rémunération non officielle au personnel médical. En pratique, hormis des cas spécifiques, les médicaments et les traitements sont à la charge du patient la plupart du temps, la qualité de traitement dépendant, de manière générale, des moyens de la personne traitée (Organisation suisse d'aide aux réfugiés [OSAR], Schnellrecherche der SFH-Länderanalyse zu Ukraine : Kosten für Medikamente und Behandlungen, Selbstkosten, Krankenversicherung, juillet 2017). Il existe également un secteur de soins privé, de petite taille et principalement constitué de pharmacies, d'établissements à vocation médico-prophylactique (pour patients hospitalisés et externes) et de médecins en pratique privée, qui sont essentiellement financés par l'entremise des paiements directs versés par la population pour accéder aux services et aux dispositifs médicaux. La situation dans les grandes villes, en matière d'approvisionnement en médicaments notamment, est généralement meilleure que dans les régions rurales (cf. arrêt D-5191/2015 du 2 février 2016, p. 11-12, et les réf. citées).</w:t>
      </w:r>
    </w:p>
    <w:p>
      <w:r>
        <w:rPr>
          <w:b/>
        </w:rPr>
        <w:t>E. 5.6</w:t>
      </w:r>
    </w:p>
    <w:p>
      <w:r>
        <w:t>Dans ce contexte, il y a lieu de porter sur la situation de l'intéressée un regard global. Il apparaît alors douteux que la recourante soit en mesure d'assurer les frais de son traitement, à supposer que celui-ci soit en pratique accessible. Ni son père, retraité en mauvaise santé, ni sa mère handicapée, et qui ne pourra l'héberger (cf. audition du 6 février 2017, questions 17-20), ne seront manifestement en mesure de lui apporter l'aide nécessaire. A cela s'ajoute que les cliniques indiquées par le SEM dans sa réponse se situent toutes à Kiev, soit à une grande distance de E._______, où résidait la recourante avant son départ. Le Tribunal constate également que les thérapeutes en charge du cas ont insisté sur le risque d'une interruption du traitement, le rapport médical du 20 juillet 2017, annexé à la réplique, relevant en outre que le traitement ne serait pas possible en Ukraine.</w:t>
      </w:r>
    </w:p>
    <w:p>
      <w:r>
        <w:rPr>
          <w:b/>
        </w:rPr>
        <w:t>E. 5.7</w:t>
      </w:r>
    </w:p>
    <w:p>
      <w:r>
        <w:t>Dans ce contexte, et contrairement à ce que retient le SEM dans sa décision, une simple aide ponctuelle ayant pour objectif d'aider au retour et à la réinstallation dans le pays d'origine (fourniture de médicaments, accompagnement spécialisé), par essence temporaire, n'est pas suffisante ; en effet, il apparaît que ce retour, quelles que soient les précautions prises, entraînerait aujourd'hui pour l'intéressée un trop grand risque de décompensation grave, aux suites potentiellement irrémédiables. D'éventuelles mesures d'accompagnement ne sont ainsi pas de nature, en l'état actuel de la recourante, à amoindrir ces risques. Le Tribunal ne peut donc écarter sans raisons solides les avertissements des thérapeutes, qui ont mis en lumière, dans leurs rapports émis depuis maintenant plus de deux ans, les risques très sérieux qu'entraînerait l'exécution du renvoi.</w:t>
      </w:r>
    </w:p>
    <w:p>
      <w:r>
        <w:rPr>
          <w:b/>
        </w:rPr>
        <w:t>E. 5.8</w:t>
      </w:r>
    </w:p>
    <w:p>
      <w:r>
        <w:t>Le Tribunal en arrive dès lors à la conclusion que cette exécution doit être considérée, en l'état, comme non raisonnablement exigible. Dès lors, au vu de la conjugaison de facteurs défavorables affectant l'intéressée, il y a lieu de prononcer son admission provisoire ; celle-ci, en principe d'une durée d'un an (art. 85 al. 1 LEtr), renouvelable si nécessaire, apparaît mieux à même d'écarter les risques sérieux qu'elle court actuellement en cas de retour.</w:t>
      </w:r>
    </w:p>
    <w:p>
      <w:r>
        <w:rPr>
          <w:b/>
        </w:rPr>
        <w:t>E. 6</w:t>
      </w:r>
    </w:p>
    <w:p>
      <w:r>
        <w:t>En conséquence, le recours doit être admis et la décision attaquée annulée, en tant qu'elle ordonne l'exécution du renvoi. L'autorité de première instance est invitée à prononcer l'admission provisoire de la recourante. La situation concrète de cette dernière devra être revue par le SEM à intervalles réguliers, en principe de douze mois, et faire l'objet d'une nouvelle appréciation, en fonction de l'évolution de son état.</w:t>
      </w:r>
    </w:p>
    <w:p>
      <w:r>
        <w:rPr>
          <w:b/>
        </w:rPr>
        <w:t>E. 7.1</w:t>
      </w:r>
    </w:p>
    <w:p>
      <w:r>
        <w:t>Compte tenu de l'issue de la procédure, il n'y a pas lieu de percevoir de frais (art. 63 al. 2 PA).</w:t>
      </w:r>
    </w:p>
    <w:p>
      <w:r>
        <w:rPr>
          <w:b/>
        </w:rPr>
        <w:t>E. 7.2</w:t>
      </w:r>
    </w:p>
    <w:p>
      <w:r>
        <w:t>Quant à l'allocation de dépens au sens de l'art. 64 al. 1 PA, elle ne se justifie pas en l'espèce. En effet, la recourante, qui n'a pas recouru aux services d'un mandataire, n'a pas démontré avoir eu à supporter des frais indispensables et d'une certaine importance rendus nécessaires par le dépôt de son recours (cf. art. 7 al. 1 et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