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E-2203/2009 vom 5. Juni 2012</w:t>
      </w:r>
    </w:p>
    <w:p>
      <w:r>
        <w:t>Bundesverwaltungsgericht, 2012-06-05, DE</w:t>
      </w:r>
    </w:p>
    <w:p>
      <w:r>
        <w:rPr>
          <w:b/>
        </w:rPr>
        <w:t xml:space="preserve">Quelle: </w:t>
      </w:r>
      <w:r>
        <w:t>https://mcp.opencaselaw.ch/entscheid/bvger_E-2203_2009</w:t>
      </w:r>
    </w:p>
    <w:p>
      <w:r>
        <w:t>FR: TAF E-2203/2009 du 5 juin 2012</w:t>
      </w:r>
    </w:p>
    <w:p>
      <w:r>
        <w:t>IT: TAF E-2203/2009 del 5 giugno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Das Verfahren richtet sich nach dem VwVG, dem VGG und dem BGG, soweit das AsylG nichts anderes bestimmt (Art. 37 VGG und Art. 6 AsylG). Der Beschwerdeführer ist als Verfügungsadressat zur Beschwerdeführung legitimiert (Art. 48 VwVG). Auf die frist- und formgerecht eingereichte Beschwerde (Art. 108 Abs. 1 AsylG und Art. 52 VwVG) ist einzutreten.</w:t>
      </w:r>
    </w:p>
    <w:p>
      <w:r>
        <w:rPr>
          <w:b/>
        </w:rPr>
        <w:t>E. 2</w:t>
      </w:r>
    </w:p>
    <w:p>
      <w:r>
        <w:t>Mit der Beschwerde kann eine Verletzung von Bundesrecht, eine unrichtige oder unvollständige Feststellung des rechtserheblichen Sachverhalts und Unangemessenheit gerügt werden (Art. 106 Abs. 1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3.3</w:t>
      </w:r>
    </w:p>
    <w:p>
      <w:r>
        <w:t>Die Vorinstanz hat den Massstab des Glaubhaftmachens nach Art. 7 AsylG auf den vorliegenden Fall korrekt angewendet. Sie hat in der angefochtenen Verfügung einlässlich begründet, weshalb die Vorbringen des Beschwerdeführers unsubstantiiert, realitätsfremd, widersprüchlich und in einer Gesamtwürdigung als unglaubhaft ausfielen. Der Beschwerdeführer setzt sich mit der vorinstanzlichen Beweiswürdigung kaum auseinander und zeigt nicht auf, inwiefern diese Bundesrecht verletzt oder zu einer fehlerhaften Sachverhaltsfeststellung führen soll. Solches ist auch nicht ersichtlich. Die Vorinstanz hat zutreffend als unwahrscheinlich erachtet, dass unzählige Mitglieder der B._______ von 2000 bis 2002 ca. 50 Mal versucht haben sollen, den Beschwerdeführer aufgrund seines Bekanntheitsgrades (er soll (...) ein (...) gewesen sein) für ihre Gruppierung zu gewinnen. Des Weiteren ist nicht nachvollziehbar, weshalb der bislang politisch wenig interessierte Beschwerdeführer aufgrund von "verschiedenen Untersuchungen der B._______ auf der Strasse" Anfang 2008 zum Politaktivist geworden sein soll. Diese vage Begründung der Entfachung seines politischen Aktivismus erscheint insbesondere in Anbetracht des hohen Risikos, welches der Beschwerdeführer dazu einzugehen bereit gewesen sein muss, unglaubhaft. Die Ausführungen zu seinem politischen Engagement, seinen Motivationsgründen und über die Inhalte der Reden des Regimekritikers Reza Fazeli fielen für einen angeblichen Politaktivisten äusserst substanzarm aus. Entgegen der Ansicht in der Beschwerde ist von einem Politaktivisten durchaus zu erwarten, dass er das Gedankengut seines politischen Vorbilds detailliert wiedergeben kann. Der Beschwerdeführer hat nichts vorgebracht, das geeignet wäre, die Flüchtlingseigenschaft nachzuweisen oder zumindest glaubhaft zu machen.</w:t>
      </w:r>
    </w:p>
    <w:p>
      <w:r>
        <w:rPr>
          <w:b/>
        </w:rPr>
        <w:t>E. 4</w:t>
      </w:r>
    </w:p>
    <w:p>
      <w:r>
        <w:t>Der Beschwerdeführer macht auf Beschwerdeebene geltend, er sei vom Islam zum Christentum konvertiert und politisch äusserst aktiv. Er habe an Demonstrationen teilgenommen und habe einmal eine Rede gehalten. Bilder dieser Demonstration seien weltweit in unzähligen Fernsehkanälen ausgestrahlt worden.</w:t>
      </w:r>
    </w:p>
    <w:p>
      <w:r>
        <w:rPr>
          <w:b/>
        </w:rPr>
        <w:t>E. 4.1</w:t>
      </w:r>
    </w:p>
    <w:p>
      <w:r>
        <w:t>Gemäss Art. 53 AsylG (Marginalie:"subjektive Nachfluchtgründe") wird Flüchtlingen kein Asyl gewährt, wenn sie erst durch ihre Ausreise aus dem Heimat- oder Herkunftsstaat oder wegen ihres Verhaltens nach der Ausreise Flüchtlinge im Sinne von Artikel 3 wurden.</w:t>
      </w:r>
    </w:p>
    <w:p>
      <w:r>
        <w:rPr>
          <w:b/>
        </w:rPr>
        <w:t>E. 4.2</w:t>
      </w:r>
    </w:p>
    <w:p>
      <w:r>
        <w:t>Betreffend Konversion im Ausland beziehungsweise in der Schweiz ist zu beachten, dass solche Übertritte nach Erkenntnissen der schweizerischen Asylbehörden nicht selten "organisiert" werden, um sich ein entsprechendes Anwesenheitsrecht in der Schweiz beziehungsweise im betreffenden Aufenthaltsland zu erwirken. Ein derart organisierter "Glaubenswechsel" würde aber nicht ernsthaft und nachhaltig erscheinen, weshalb im Falle einer Rückkehr in den Iran auch nicht mit ernsthaften Nachteilen im Sinne von Art. 3 AsylG gerechnet werden müsste, zumal die diskrete und private Glaubensausübung im Iran auch ausserhalb des Islam grundsätzlich möglich ist (BVGE 2009/28 E. 7.3.5). Der Beschwerdeführer wurde am (...) in der Schweiz durch den Pastor getauft, was durch die eingereichte Taufzertifikate und ein Video der Taufe belegt wird. Den Akten sind indes keine Hinweise zu entnehmen, wonach er im Zusammenhang mit seiner christlichen Gesinnung in leitender Funktion tätig wäre oder sich in besonderer Weise exponiert hätte. Auch bestehen keine Anhaltspunkte für allfällige öffentliche religiöse Aktivitäten. Mangels anderer Hinweise ist aufgrund Akten zu schliessen, dass es sich bei ihm um ein einfaches Mitglied einer christlichen Vereinigung handelt. Es bestehen keine konkreten Anhaltspunkte, dass der Beschwerdeführer aufgrund seiner religiösen Gesinnung im Falle einer Rückkehr Verfolgungsmassnahmen gemäss Art. 3 AsylG zu befürchten hätte.</w:t>
      </w:r>
    </w:p>
    <w:p>
      <w:r>
        <w:rPr>
          <w:b/>
        </w:rPr>
        <w:t>E. 4.3</w:t>
      </w:r>
    </w:p>
    <w:p>
      <w:r>
        <w:t>Betreffend exilpolitischer Aktivitäten in der Schweiz ist bei iranischen Asylsuchenden im Einzelfall zu prüfen, ob diese bei einer allfälligen Ausschaffung in den Iran mit überwiegender Wahrscheinlichkeit ernsthafte Nachteile in asylrechtlich relevantem Ausmass nach sich ziehen würden. Es ist davon auszugehen, dass sich die iranischen 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(BVGE 2009/28 E. 7.4.3 S. 365). Der Beschwerdeführer macht geltend, er habe an diversen Demonstrationen gegen das Regime teilgenommen, als bekannte Persönlichkeit ([...]) sogar eine Rede gehalten und überdies ein (...) sowie eine (...) über C._______ auf (...) publiziert. Vorweg ist festzuhalten, dass der Beschwerdeführer - wie dargelegt - eine Vorverfolgung nicht glaubhaft machen konnte. Es ist nicht davon auszugehen, dass er bereits vor der Ausreise die Aufmerksamkeit der iranischen Behörden auf sich gezogen. Das Dossier des Beschwerdeführers zu den politischen Aktivitäten in der Schweiz hebt sich von den üblichen exilpolitischen Tätigkeiten einer Vielzahl seiner Landsleute nicht ab. Er hat keine markanten Führungsaufgaben wahrgenommen. Die öffentlich vorgetragene Kritik am Regime weist demnach insgesamt nicht den nötigen Exponierungsgrad auf, um bei den iranischen Behörden den Eindruck zu erwecken, dass der Beschwerdeführer zu einer Gefahr für den Bestand ihres Regimes werden könnte.</w:t>
      </w:r>
    </w:p>
    <w:p>
      <w:r>
        <w:rPr>
          <w:b/>
        </w:rPr>
        <w:t>E. 4.4</w:t>
      </w:r>
    </w:p>
    <w:p>
      <w:r>
        <w:t>Zusammenfassend ist festzustellen, dass die geltend gemachten subjektiven Nachfluchtgründe nicht geeignet sind, eine flüchtlingsrechtlich relevante Verfolgungsfurcht zu begründen, weshalb die Vorinstanz das Asylgesuch zu Recht abgelehnt hat.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Das Bundesamt hat die Wegweisung zu Recht angeordnet.</w:t>
      </w:r>
    </w:p>
    <w:p>
      <w:r>
        <w:rPr>
          <w:b/>
        </w:rPr>
        <w:t>E. 6.1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 ist.</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den Iran dort mit beachtlicher Wahrscheinlichkeit einer nach Art. 3 EMRK oder Art. 1 FoK verbotenen Strafe oder Behandlung ausgesetzt wäre. Der Vollzug der Wegweisung ist somit zulässig.</w:t>
      </w:r>
    </w:p>
    <w:p>
      <w:r>
        <w:rPr>
          <w:b/>
        </w:rPr>
        <w:t>E. 6.3</w:t>
      </w:r>
    </w:p>
    <w:p>
      <w:r>
        <w:t>Der Vollzug der Wegweisung kann nach Art. 83 Abs. 4 AuG unzumutbar sein, wenn der Ausländer im Heimat- oder Herkunftsstaat auf Grund von Situationen wie Krieg, Bürgerkrieg, allgemeiner Gewalt und medizinischer Notlage konkret gefährdet sind. Im Iran herrscht keine Situation allgemeiner Gewalt, weshalb in konstanter Praxis von der generellen Zumutbarkeit des Wegweisungsvollzugs dorthin ausgegangen wird (vgl. statt vieler Urteil des Bundesverwaltungsgerichts D-1068/2012 vom 30. April 2012). Beim Beschwerdeführer handelt es sich um einen jungen gesunden Mann, der eine gute Schulbildung genossen hat, jahrelang (...) gearbeitet hat und seinen Lebensunterhalt selbstständig bestreiten konnte. Auch verfügt er über ein familiäres und zweifelsohne über ein soziales Netz, welches ihm bei seiner Rückkehr in das Heimatland unterstützen wird. Der Vollzug der Wegweisung des Beschwerdeführers ist demnach zumutbar.</w:t>
      </w:r>
    </w:p>
    <w:p>
      <w:r>
        <w:rPr>
          <w:b/>
        </w:rPr>
        <w:t>E. 6.4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w:t>
      </w:r>
    </w:p>
    <w:p>
      <w:r>
        <w:rPr>
          <w:b/>
        </w:rPr>
        <w:t>E. 6.5</w:t>
      </w:r>
    </w:p>
    <w:p>
      <w:r>
        <w:t>Zusammenfassend ist festzuhalten, dass die Vorinstanz den Wegweisungsvollzug zu Recht als zulässig, zumutbar und möglich erachtet.</w:t>
      </w:r>
    </w:p>
    <w:p>
      <w:r>
        <w:rPr>
          <w:b/>
        </w:rPr>
        <w:t>E. 7</w:t>
      </w:r>
    </w:p>
    <w:p>
      <w:r>
        <w:t>Aus diesen Erwägungen ergibt sich, dass die angefochtene Verfügung Bundesrecht nicht verletzt und auch sonst nicht zu beanstanden ist (vgl. Art. 106 AsylG). Die Beschwerde ist abzuweisen.</w:t>
      </w:r>
    </w:p>
    <w:p>
      <w:r>
        <w:rPr>
          <w:b/>
        </w:rPr>
        <w:t>E. 8</w:t>
      </w:r>
    </w:p>
    <w:p>
      <w:r>
        <w:t>Bei diesem Ausgang des Verfahrens wären die Kosten von insgesamt Fr. 600.- dem Beschwerdeführer aufzuerlegen (Art. 63 Abs. 1 und 5 VwVG; Art. 1 - 3 des Reglements vom 21. Februar 2008 über die Kosten und Entschädigungen vor dem Bundesverwaltungsgericht [VGKE, SR 173.320.2]). Da die Voraussetzungen zur Gewährung der unentgeltlichen Rechtspflege gemäss Art. 65 Abs. 1 VwVG erfüllt sind, ist das entsprechende Gesuch gutzuheissen und der Beschwerdeführer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