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E-2200/2015 vom 20. April 2015</w:t>
      </w:r>
    </w:p>
    <w:p>
      <w:r>
        <w:t>Bundesverwaltungsgericht, 2015-04-20, FR</w:t>
      </w:r>
    </w:p>
    <w:p>
      <w:r>
        <w:rPr>
          <w:b/>
        </w:rPr>
        <w:t xml:space="preserve">Quelle: </w:t>
      </w:r>
      <w:r>
        <w:t>https://mcp.opencaselaw.ch/entscheid/bvger_E-2200_2015</w:t>
      </w:r>
    </w:p>
    <w:p>
      <w:r>
        <w:t>FR: TAF E-2200/2015 du 20 avril 2015</w:t>
      </w:r>
    </w:p>
    <w:p>
      <w:r>
        <w:t>IT: TAF E-2200/2015 del 20 aprile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l'appui de sa demande, l'intéressée soutient avoir été poursuivie par la police en raison de son engagement au sein de l'OFDM. Elle déclare notamment avoir été arrêtée et battue, voire même violée.</w:t>
      </w:r>
    </w:p>
    <w:p>
      <w:r>
        <w:rPr>
          <w:b/>
        </w:rPr>
        <w:t>E. 3.2</w:t>
      </w:r>
    </w:p>
    <w:p>
      <w:r>
        <w:t>Force est toutefois de constater que le récit de l'intéressée, dépourvu de détails significatifs d'une expérience réellement vécue, ne parvient pas à convaincre. La recourante qui affirme avoir été active au sein de l'OFDM pendant plusieurs années ne parvient en effet pas à décrire ses activités de manière précise et concrète. Elle ne fait que se référer de manière toute générale à des distributions de tracts ou à des manifestations auxquelles elle aurait participé. Les déclarations de l'intéressée ne sont pas crédibles également pour d'autres raisons. Il convient ainsi d'observer qu'elle ne mentionne l'épisode portant sur sa prétendue interpellation en 2010 qu'au cours de sa seconde audition ; dans un premier temps, elle ne fait qu'évoquer une interpellation de la police qui se serait produite non pas en 2010 mais en 2012. Ainsi, l'épisode de 2010 n'apparait articulé que pour le seul besoin de la cause. Il convient également d'observer que le fondement politique des préjudices prétendument subis par l'intéressée est également sujet à caution dans la mesure où aucun élément du dossier ne permet de retenir que la recourante ait fait montre d'un engagement particulièrement intense et actif pour la cause oromo au point d'attirer sur elle l'intérêt des autorités éthiopiennes. En effet, cet engagement se serait limité à des activités de pure propagande. Qui plus est l'appartenance de l'intéressée à l'OFDM n'est, en soi, aucunement pertinente, l'OFDM étant un parti légal en Ethiopie et la crainte de subir des persécutions en raison d'une simple adhésion à ce mouvement n'apparaît pas fondée. S'agissant enfin des explications de l'intéressée concernant la non production de sa carte d'identité, celles-ci sont contradictoires et, partant, pas crédibles : tantôt, en effet, elle affirme l'avoir laissée à la maison, tantôt, elle déclare qu'elle se trouverait au secrétariat du parti. Ce constat, laisse en revanche à penser que l'intéressée cherche à dissimuler les vraies circonstances de son départ du pays et de sa venue en Suisse, un périple de cette importance n'étant pas imaginable sans être pourvu d'un document d'identité en bonne et due forme. L'allégation selon laquelle elle aurait voyagé muni d'un passeport d'emprunt - sans pouvoir en donner le nom du titulaire, d'ailleurs, et en compagnie d'un passeur - relève du stéréotype et ne saurait, elle non plus, être tenue pour crédible.</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l'intéressée n'a pas démontré l'existence d'un risque réel, fondé sur des motifs sérieux et avérés, d'être exposée, en cas de retour dans son pays d'origine, à des traitements prohibés.</w:t>
      </w:r>
    </w:p>
    <w:p>
      <w:r>
        <w:rPr>
          <w:b/>
        </w:rPr>
        <w:t>E. 6.6</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De jurisprudence constante, l'exécution du renvoi vers l'Ethiopie est en principe considérée comme raisonnablement exigible (ATAF 2011/25 consid.8.3 et réf. cit.). En dépit d'un climat d'instabilité, l'Ethiopie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l'art.83 al.4 LEtr.</w:t>
      </w:r>
    </w:p>
    <w:p>
      <w:r>
        <w:rPr>
          <w:b/>
        </w:rPr>
        <w:t>E. 7.3</w:t>
      </w:r>
    </w:p>
    <w:p>
      <w:r>
        <w:t>En outre, il ne ressort du dossier aucun élément dont on pourrait déduire que l'exécution du renvoi impliquerait une mise en danger concrète de la recourante. A cet égard, l'autorité de céans relève que la recourante est jeune, au bénéfice d'une formation professionnelle et n'a pas allégué de problème de santé particulier.</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11</w:t>
      </w:r>
    </w:p>
    <w:p>
      <w:r>
        <w:t>Dans la mesure où il est statué immédiatement, la demande de dispense d'avance de frais de procédure est sans objet.</w:t>
      </w:r>
    </w:p>
    <w:p>
      <w:r>
        <w:rPr>
          <w:b/>
        </w:rPr>
        <w:t>E. 12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