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E-21/2016 vom 3. Februar 2016</w:t>
      </w:r>
    </w:p>
    <w:p>
      <w:r>
        <w:t>Bundesverwaltungsgericht, 2016-02-03, DE</w:t>
      </w:r>
    </w:p>
    <w:p>
      <w:r>
        <w:rPr>
          <w:b/>
        </w:rPr>
        <w:t xml:space="preserve">Quelle: </w:t>
      </w:r>
      <w:r>
        <w:t>https://mcp.opencaselaw.ch/entscheid/bvger_E-21_2016</w:t>
      </w:r>
    </w:p>
    <w:p>
      <w:r>
        <w:t>FR: TAF E-21/2016 du 3 février 2016</w:t>
      </w:r>
    </w:p>
    <w:p>
      <w:r>
        <w:t>IT: TAF E-21/2016 del 3 febbraio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Da das Bundesverwaltungsgericht das sinngemässe Fristwiederherstellungsgesuch der Beschwerdeführenden mit Urteil vom 30. Dezember 2015 im Verfahren E-8300/2015 guthiess, ist die Beschwerde gegen die Verfügung des SEM vom 24. November 2015 fristgerecht. Ferner ist die Beschwerde auch formgerecht.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1.4</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Dublin-III-VO zur Anwendung. Demnach prüft das SEM zur Bestimmung des staatsvertraglich zuständigen Staates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Christian Filzwieser/Andrea Sprung, Dublin-III-Verordnung, Das Europäische Asylzuständigkeitssystem, Stand 1. Februar 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vorliegenden Akten ist zu entnehmen, dass sich die Beschwerdeführenden vor ihrer Einreise in die Schweiz in Italien aufgehalten haben. Anlässlich des beratenden Vorgesprächs im VZ Zürich vom 23. Juni 2015 führten sie aus, dass sie auf hoher See - mangels Seetüchtigkeit ihres Bootes - von einem grossen Schiff hätten gerettet werden müssen. Dieses Schiff - auf dem sie weder daktyloskopiert noch fotografiert worden seien - habe sie nach Italien gebracht. Dort angekommen, seien sie in eine Unterkunft geführt worden, in der sie versorgt und gefragt worden seien, ob sie sich registrieren lassen oder weiterreisen wollten. Sie hätten sich für die Weiterreise entschieden und sich zunächst nach Mailand begeben. Von dort aus seien sie nach Rom gereist, um kurze Zeit später wieder nach Mailand zurück und von dort aus mit dem Zug in die Schweiz zu fahren (vgl. A24/6; A25/6).</w:t>
      </w:r>
    </w:p>
    <w:p>
      <w:r>
        <w:rPr>
          <w:b/>
        </w:rPr>
        <w:t>E. 4.3</w:t>
      </w:r>
    </w:p>
    <w:p>
      <w:r>
        <w:t>Das SEM ersuchte die italienischen Behörden am 24. Juni 2015 gestützt auf Art. 13 Abs. 1 Dublin-III-VO um Aufnahme der Beschwerdeführenden. Die italienischen Behörden liessen das Übernahmeersuchen innert der in Art. 22 Abs. 1 Dublin-III-VO vorgesehenen Frist unbeantwortet, womit sie ihre Zuständigkeit implizit anerkannten (Art. 22 Abs. 7 Dublin-III-VO). Da die grundsätzliche Zuständigkeit Italiens auch seitens der Beschwerdeführenden unbestritten blieb, ist diese somit gegeben.</w:t>
      </w:r>
    </w:p>
    <w:p>
      <w:r>
        <w:rPr>
          <w:b/>
        </w:rPr>
        <w:t>E. 5</w:t>
      </w:r>
    </w:p>
    <w:p>
      <w:r>
        <w:t>Im Lichte von Art. 3 Abs. 2 Dublin-III-VO ist sodann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beziehungsweise es ist der Frage nachzugehen, ob für die Beschwerdeführenden in einer individuellen Betrachtung eine Gefährdung nach Art. 3 EMRK aufgezeigt ist.</w:t>
      </w:r>
    </w:p>
    <w:p>
      <w:r>
        <w:rPr>
          <w:b/>
        </w:rPr>
        <w:t>E. 5.1</w:t>
      </w:r>
    </w:p>
    <w:p>
      <w:r>
        <w:t>Italien ist Signatarstaat der EMRK, des Übereinkommens vom 10. Dezember 1984 gegen Folter und andere grausame, unmenschliche oder erniedrigende Behandlung oder Strafe (FoK, SR 0.105), der FK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Unterkünften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müsse, dass die Lebensbedingungen ihrem Alter angepasst seien,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erfolge,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 (vgl. auch BVGE 2015/4). Die Beschwerdeführenden gehören als junges, grundsätzlich gesundes, kinderloses Ehepaar nicht zu einer der umschriebenen Gruppen, welchen ein besonderes Augenmerk zu schenken ist. Im Übrigen haben sie sich bis anhin gar nie um eine Aufnahme in das italienische Asylsystem bemüht. Nach dem Gesagten ist die Anwendung von Art. 3 Abs. 2 Dublin-III-VO mithin nicht gerechtfertigt.</w:t>
      </w:r>
    </w:p>
    <w:p>
      <w:r>
        <w:rPr>
          <w:b/>
        </w:rPr>
        <w:t>E. 5.2.1</w:t>
      </w:r>
    </w:p>
    <w:p>
      <w:r>
        <w:t>Die Beschwerdeführenden machten sodann geltend, dass sie in Italien unter sehr schlechten Bedingungen gelebt und gesehen hätten, dass ihre Landsleute dort auf der Strasse wohnten. Sie hätten Angst, ebenfalls in der Obdachlosigkeit zu landen und mit grossen, einer unmenschlichen und erniedrigenden Behandlung gleichkommenden Existenzproblemen konfrontiert zu sein, wenn sie nach Italien zurückkehren müssten. So gebe es dort, anders als in der Schweiz, denn auch keine Zukunftsperspektiven und keine Bildung. Die Beschwerdeführenden haben kein konkretes und ernsthaftes Risiko dargetan, die italienischen Behörden würden sich weigern, sie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Auch haben sie keine konkreten Hinweise für die Annahme dargetan, Italien würde ihnen dauerhaft die ihnen gemäss Richtlinie des Europäischen Parlaments und des Rates 2013/33/EU vom 26. Juni 2013 zur Festlegung von Normen für die Aufnahme von Personen, die internationalen Schutz beantragen (sog. Aufnahmerichtlinie) zustehenden minimalen Lebensbedingungen vorenthalten. Ihr pauschales Vorbringen, sie hätten in Italien unter sehr schlechten Bedingungen gelebt und fürchteten sich davor, auf der Strasse leben zu müssen und in existenzielle Not zu geraten, vermag jedenfalls nicht zu überzeugen, zumal das Gericht davon ausgeht, dass sie sich im Fall der Überstellung an die italienischen Behörden werden wenden können, um die ihnen zustehenden Aufnahmebedingungen (wenn nötig auch auf dem Rechtsweg) einzufordern (vgl. Art. 26 Aufnahmerichtlinie). Folglich haben die Beschwerdeführenden auch nicht konkret dargelegt, inwiefern die sie bei einer Rückführung erwartenden Bedingungen in Italien derart schlecht sind, dass sie zu einer Verletzung von Art. 3 EMRK oder Art. 3 FoK führen könnten. Schliesslich sind den Akten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5.2.2</w:t>
      </w:r>
    </w:p>
    <w:p>
      <w:r>
        <w:t>Die von den Beschwerdeführenden im vorinstanzlichen Verfahren vorgebrachten, in der Rechtsmitteleingabe aber nicht mehr erwähnten, gesundheitlichen Probleme - die wohl für die durchaus tragische Fehlgeburt der Beschwerdeführerin ursächlichen Gebärmutterprobleme, ihre Ohrenschmerzen sowie die im Zusammenhang mit einem Malariaschub stehenden Halsschmerzen des Beschwerdeführers - sind nicht von einer derartigen Schwere, dass von einer Überstellung abgesehen werden müsste (vgl. BVGE 2011/9 E. 7 mit Hinweisen auf die Praxis des EGMR). Im Übrigen verfügt Italien über eine ausreichende medizinische Infrastruktur.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Italien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gegebenenfalls die italienischen Behörden vorgängig in geeigneter Weise über allfällige spezifische medizinische Umstände informieren (vgl. Art. 31 f. Dublin-III-VO).</w:t>
      </w:r>
    </w:p>
    <w:p>
      <w:r>
        <w:rPr>
          <w:b/>
        </w:rPr>
        <w:t>E. 5.2.3</w:t>
      </w:r>
    </w:p>
    <w:p>
      <w:r>
        <w:t>Unter diesen Umständen sind nach einzelfallgerechter Prüfung keine völkerrechtlichen Hindernisse - namentlich aus Art. 3 EMRK - ersichtlich, welche eine Überstellung der Beschwerdeführenden nach Italien als unzulässig erscheinen lassen.</w:t>
      </w:r>
    </w:p>
    <w:p>
      <w:r>
        <w:rPr>
          <w:b/>
        </w:rPr>
        <w:t>E. 6</w:t>
      </w:r>
    </w:p>
    <w:p>
      <w:r>
        <w:t>Sodann hielt das SEM in der angefochtenen Verfügung fest, es würden auch keine humanitären Gründe vorliegen, welche einen Selbsteintritt der Schweiz gestützt auf Art. 17 Abs. 1 Dublin-III-VO i.V.m. Art. 29a Abs. 3 AsylV 1 rechtfertigen. Das Bundesverwaltungsgericht hielt in seinem Grundsatzentscheid BVGE 2015/9 vom 13. März 2015 fest, dem Gericht komme im Rahmen von Art. 17 Abs. 1 Dublin-III-VO i.V.m. Art. 29a Abs. 3 AsylV 1 keine Beurteilungskompetenz in Bezug auf den Ermessensentscheid des SEM (mehr) zu, und es greife nur ein, wenn das Staatsekretariat das ihm eingeräumte Ermessen über- beziehungsweise unterschreite oder missbrauche und damit Bundesrecht verletze, was vorliegend nicht der Fall ist.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der Beschwerdeführenden nicht eingetreten und hat korrekterweise in Anwendung von Art. 44 AsylG ihre Überstellung nach Italien angeordnet.</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SEM vom 24. November 2015 zu bestätigen.</w:t>
      </w:r>
    </w:p>
    <w:p>
      <w:r>
        <w:rPr>
          <w:b/>
        </w:rPr>
        <w:t>E. 10</w:t>
      </w:r>
    </w:p>
    <w:p>
      <w:r>
        <w:t>Das Beschwerdeverfahren ist mit vorliegendem Urteil abgeschlossen, weshalb der mit Telefax vom 22. Dezember 2015 verfügte und mit Zwischenverfügung vom 5. Januar 2016 zuletzt aufrechterhaltene Vollzugsstopp aufgehoben wird.</w:t>
      </w:r>
    </w:p>
    <w:p>
      <w:r>
        <w:rPr>
          <w:b/>
        </w:rPr>
        <w:t>E. 11</w:t>
      </w:r>
    </w:p>
    <w:p>
      <w:r>
        <w:t>Bei diesem Ausgang des Verfahrens wären die Kosten den Beschwerdeführenden aufzuerlegen. Das mit der Beschwerde gestellte Gesuch um Gewährung der unentgeltlichen Prozessführung (vgl. Bst. G) ist indes gutzuheissen. So waren die von den Beschwerdeführenden gestellten Rechtsbegehren nicht von vorneherein aussichtslos. Ferner ist aufgrund der Akten von ihrer Bedürftigkeit auszugehen.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