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E-219/2022 vom 10. Dezember 2021</w:t>
      </w:r>
    </w:p>
    <w:p>
      <w:r>
        <w:t>Bundesverwaltungsgericht, 2021-12-10, FR</w:t>
      </w:r>
    </w:p>
    <w:p>
      <w:r>
        <w:rPr>
          <w:b/>
        </w:rPr>
        <w:t xml:space="preserve">Quelle: </w:t>
      </w:r>
      <w:r>
        <w:t>https://mcp.opencaselaw.ch/entscheid/bvger_E-219_2022_d20211210</w:t>
      </w:r>
    </w:p>
    <w:p>
      <w:r>
        <w:t>FR: TAF E-219/2022 du 10 décembre 2021</w:t>
      </w:r>
    </w:p>
    <w:p>
      <w:r>
        <w:t>IT: TAF E-219/2022 del 10 dicembre 2021</w:t>
      </w:r>
    </w:p>
    <w:p>
      <w:pPr>
        <w:pStyle w:val="Heading2"/>
      </w:pPr>
      <w:r>
        <w:t>Regeste</w:t>
      </w:r>
    </w:p>
    <w:p>
      <w:r>
        <w:t>Asile et renvoi (demande multiple/r&amp;eacute;examen) | Asile et renvoi (demande multiple/réexamen); décision du SEM du 10 décembre 2021</w:t>
      </w:r>
    </w:p>
    <w:p>
      <w:pPr>
        <w:pStyle w:val="Heading2"/>
      </w:pPr>
      <w:r>
        <w:t>Erwägungen</w:t>
      </w:r>
    </w:p>
    <w:p>
      <w:r>
        <w:rPr>
          <w:b/>
        </w:rPr>
        <w:t>E. 16</w:t>
      </w:r>
    </w:p>
    <w:p>
      <w:r>
        <w:t>décembre 2005 sur les étrangers et l'intégration [LEI, RS 142.20] a contrario), que, faute de s’être vu reconnaître la qualité de réfugié (cf. supra), l’intéressé ne peut valablement se prévaloir du principe de non refoulement de l’art. 5 al. 1 LAsi, que pour les mêmes motifs qu’évoqués précédemment, il n’a pas non plus établi ou à tout le moins rendu vraisemblable l’existence d’un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contre la torture et autres peines ou traitements cruels, inhumains ou dégradants du 10 décembre 1984 [Conv. torture, RS 0.105]), qu’aussi, l’exécution du renvoi est licite (cf. art. 83 al. 3 LEI), cette mesure n’étant en l’occurrence contraire à aucun engagement de la Suisse relevant du droit international, qu’elle est également raisonnablement exigible (cf. art. 83 al. 4 LEI), que, comme déjà indiqué dans l’arrêt E-2870/2020 du 1er juillet 2020 (cf. consid. 10.4.1), suite à la cessation des hostilités entre l'armée sri- lankaise et les LTTE, en mai 2009, le Sri Lanka ne connaît plus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que ni l’avènement d’un nouveau gouvernement en novembre 2019 avec l’élection à la présidence de la République de Gotabaya Rajapaksa, suivie de la nomination de son frère, Mahinda Rajapaksa, au poste de Premier</w:t>
      </w:r>
    </w:p>
    <w:p>
      <w:r>
        <w:t>E-219/2022 Page 7 ministre cinq jours plus tard, ni l’issue des élections législatives du 5 août 2020, ne sont de nature à modifier cette appréciation, qu’in casu, des critères individuels favorables à la réinsertion du recourant dans le district de Jaffna, d’où il provient, sont présents (cf. arrêt E-2870/2020 précité, consid. 10.4.2 et décision attaquée, p. 8), qu’au stade du recours, l’intéressé n’a en rien contesté l’argumentation du SEM selon laquelle ses affections, au demeurant non étayées, ne constituaient pas un obstacle à l’exécution du renvoi, étant souligné que le Sri Lanka dispose de structures de soins auxquelles l’accès est gratuit (cf. décision du SEM du 10 décembre 2021, p. 8), que le Tribunal s'estime, par conséquent, fondé à conclure que l’exécution du renvoi du recourant n’est pas de nature à l’exposer à une mise en danger concrète pour cause de nécessité médicale, au sens qu’en donne la jurisprudence (cf. ATAF 2014/26 consid. 7.3 à 7.10 ; 2011/50 consid. 8.3), qu’ainsi, l’exécution du renvoi ne se heurte pas à des obstacles insurmontables d’ordre technique et s’avère également possible (cf. art. 83 al. 2 LEI ; ATAF 2008/34 consid. 12), qu’il incombe donc au recourant d'entreprendre toute démarche nécessaire auprès de la représentation de son pays d'origine en vue de l'obtention de documents de voyage lui permettant de quitter la Suisse, que la situation actuelle liée à la propagation du Covid-19 dans le monde ne justifie pas de surseoir au présent prononcé, qu’il doit toutefois en être tenu compte, l’exécution du renvoi ne pouvant avoir lieu que lorsqu’elle sera conforme aux plans de sécurité sanitaires décidés par les Etats concernés, qu’en conséquence, la décision entreprise doit également être confirmée en tant qu’elle concerne l’exécution du renvoi, qu’il s’ensuit que le recours du 17 janvier 2022 doit être rejeté, que, s'avérant manifestement infondé, il l’est dans une procédure à juge unique, avec l'approbation d'un second juge (art. 111 let. e LAsi),</w:t>
      </w:r>
    </w:p>
    <w:p>
      <w:r>
        <w:t>E-219/2022 Page 8 qu'il est renoncé à un échange d'écritures, le présent arrêt n'étant motivé que sommairement (cf. art. 111a al. 1 et 2 LAsi), que, dans la mesure où il est statué immédiatement sur le fond, la demande de dispense de paiement d’une avance de frais est sans objet, que les conclusions du recours étant d’emblée vouées à l’échec, la demande d’assistance judiciaire partielle est rejetée (cf.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E-219/2022 Page 9</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