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E-2198/2017 vom 16. Oktober 2017</w:t>
      </w:r>
    </w:p>
    <w:p>
      <w:r>
        <w:t>Bundesverwaltungsgericht, 2017-10-16, FR</w:t>
      </w:r>
    </w:p>
    <w:p>
      <w:r>
        <w:rPr>
          <w:b/>
        </w:rPr>
        <w:t xml:space="preserve">Quelle: </w:t>
      </w:r>
      <w:r>
        <w:t>https://mcp.opencaselaw.ch/entscheid/bvger_E-2198_2017</w:t>
      </w:r>
    </w:p>
    <w:p>
      <w:r>
        <w:t>FR: TAF E-2198/2017 du 16 octobre 2017</w:t>
      </w:r>
    </w:p>
    <w:p>
      <w:r>
        <w:t>IT: TAF E-2198/2017 del 16 ottobre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la pertinence de ses motifs.</w:t>
      </w:r>
    </w:p>
    <w:p>
      <w:r>
        <w:rPr>
          <w:b/>
        </w:rPr>
        <w:t>E. 3.2</w:t>
      </w:r>
    </w:p>
    <w:p>
      <w:r>
        <w:t>En effet, comme rappelé plus haut, le fait d'être astreint à servir dans l'armée, et les sanctions pour s'être soustrait à ce service, ne constitue pas une persécution, chaque Etat ayant la légitimité d'imposer à ses citoyens ce devoir civique et d'en punir la violation. Est réservé le cas où la personne concernée se verrait infliger, pour ce motif, une peine disproportionnée, et celui où l'accomplissement du service armé impliquerait sa participation à des actions prohibées par le droit international. En l'espèce, cependant, rien n'indique péremptoirement que le recourant serait appelé à servir, la convocation n'ayant pour objet que la visite médicale en vue du recrutement. Quand bien même cela serait le cas, la peine encourue par les réfractaires si elle n'est pas négligeable (deux à cinq ans d'emprisonnement, art. 335-337du Code criminel), ne saurait être tenue comme à ce point disproportionnée qu'elle réalise les conditions d'une persécution (arrêts E-898/2016 du 18 avril 2016, p. 8 ; E-6697/2016 du 10 avril 2017 consid. 4.2.2). Dans la pratique, les désertions et les refus de déférer aux convocations militaires sont très répandus, plusieurs milliers de procédures pénales ayant été ouvertes pour ces motifs. Les peines infligées sont généralement très inférieures aux maxima légaux, et peuvent même se limiter à une amende (UK Home Office, Ukraine : Military service, avril 2017). Quant au risque pour l'intéressé d'être contraint à participer à des actes contraires au droit international, ils ont perdu de leur acuité depuis que le cessez-le-feu consécutif aux accords dits « de Minsk II » a été instauré en février 2015 ; depuis lors, malgré certains épisodes de tension, les combats ont pour l'essentiel cessé dans le Dombass (cf. arrêts du Tribunal administratif fédéral E-5060/2015 du 1er juillet 2016, p. 6 ; E-5442/2015 du 31 juin 2016, p. 6 et réf. citée).</w:t>
      </w:r>
    </w:p>
    <w:p>
      <w:r>
        <w:rPr>
          <w:b/>
        </w:rPr>
        <w:t>E. 3.3</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l'occurrence, c'est d'abord sur la question de la licéité que l'autorité de céans doit porter son examen. En effet, le principe de l'unité de la famille (art. 44 LAsi), auquel la jurisprudence n'a pas apporté les mêmes limitations qu'à l'art. 8 CEDH, prescrit à l'autorité de ne pas séparer les membres d'un même groupe familial, dont seuls certains se trouvent légalement en Suisse. En conséquence, l'admission provisoire d'un des membres de la famille s'étend en principe aux autres. Ce principe peut cependant connaître des exceptions, à déterminer selon les circonstances du cas d'espèce (cf. JICRA 1995 n° 24 consid. 10-11 p. 230-233, spéc. 11c). Ainsi, il n'y a en particulier pas lieu d'étendre l'admission provisoire, si le groupe familial a, en pratique, cessé d'exister du fait du requérant et de son attitude (JICRA 2004 n° 12 p. 76-78). En l'espèce, C._______ étant appelée à rester en Suisse, au titre de l'admission provisoire, la même mesure doit bénéficier à son mari et à son fils, quand bien même ils ne mènent plus de vie commune. L'art. 44 LAsi protège en effet aussi les liens entre un enfant et le parent ne possédant ni l'autorité parentale ni la garde de celui-là, mais pour autant que les relations familiales en cause soient intactes et sérieusement vécues, ce qui apparaît en l'occurrence être le cas. Il y a lieu de relever, à ce stade, que l'intéressée n'est pas personnellement responsable de la cessation de la vie commune, ce développement étant imputable à son état de santé. Un contact régulier entre un parent et l'enfant, par l'exercice du droit de visite, peut donc, le cas échéant, empêcher l'exécution du renvoi de l'enfant, ainsi que du parent qui en a la garde. Tel est le cas ici, dans la mesure où il serait extrêmement malaisé, voire impossible, à l'enfant et à son père de revenir périodiquement en Suisse pour permettre à C._______ de voir son fils (cf. JICRA 1995 n° 24 consid. 8 p. 228 ; notamment ATF 140 I 145 consid 3.2 p. 147 et 139 I 315 consid. 2 p. 318 ss).</w:t>
      </w:r>
    </w:p>
    <w:p>
      <w:r>
        <w:rPr>
          <w:b/>
        </w:rPr>
        <w:t>E. 6.3</w:t>
      </w:r>
    </w:p>
    <w:p>
      <w:r>
        <w:t>De plus, il apparaît que l'exécution du renvoi est également non raisonnablement exigible, eu égard à la situation générale dans laquelle est placé le recourant.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6.4</w:t>
      </w:r>
    </w:p>
    <w:p>
      <w:r>
        <w:t>S'agissant de l'état de santé du recourant, le Tribunal rappelle que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2009/2 consid. 9.3.2 ; JICRA 2003 n° 24 précitée). L'exécution du renvoi ne sera en revanche plus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et JICRA 2003 n° 24 précités).</w:t>
      </w:r>
    </w:p>
    <w:p>
      <w:r>
        <w:rPr>
          <w:b/>
        </w:rPr>
        <w:t>E. 6.5</w:t>
      </w:r>
    </w:p>
    <w:p>
      <w:r>
        <w:t>En l'espèce, selon le rapport médical le plus récent ([...] mai 2017), A._______ souffre d'un trouble de l'adaptation, ainsi que d'une réaction anxio-dépressive ; le traitement, s'il requiert un suivi psychothérapeutique depuis octobre 2015, est essentiellement médicamenteux. Si le système de santé ukrainien est affecté par des carences et des imperfections qui ne permettent pas de garantir la pérennité du traitement(cf, l'arrêt de ce jour E-2204/2017 relatif à C._______, consid. 5.5), les problèmes de santé du recourant n'apparaissent cependant pas d'une gravité telle qu'ils excluent un retour dans le pays d'origine. En particulier, les médicaments indispensables pourraient, le cas échéant, lui être fournis dans le cadre d'une aide au retour appropriée (art. 93 al. 1 let. d LAsi). L'état de santé de l'intéressé n'est donc pas de nature, seul considéré, à empêcher l'exécution du renvoi. Le fait qu'il ait la charge d'un jeune enfant et doive en assumer l'éducation et l'entretien est également de nature à compliquer sa réintégration ; toutefois, ses parents, qui résident aussi à E._______, seraient en mesure de l'assister à cet égard.</w:t>
      </w:r>
    </w:p>
    <w:p>
      <w:r>
        <w:rPr>
          <w:b/>
        </w:rPr>
        <w:t>E. 6.6</w:t>
      </w:r>
    </w:p>
    <w:p>
      <w:r>
        <w:t>Un autre élément doit toutefois être pris en compte, à savoir l'effet que peut produire, sur l'état de C._______, le départ du recourant et de leur enfant. Or le rapport médical du 27 février 2017 relatif à celle-ci (pt. 5.2) retient que le maintien d'un contact avec son enfant et le père de celui-ci, quand bien même elle ne vit plus avec eux, est nécessaire pour éviter de « fragiliser encore plus » son état psychique encore très instable. Une séparation, en revanche, serait de nature à « engendrer des récidives de son trouble psychique et une péjoration [...] avec nouvelles décompensations ». C._______ étant appelée à demeurer en Suisse au titre de l'admission provisoire, en tout cas pour les douze prochains mois, il apparaît indiqué que l'enfant et son père bénéficient de la même mesure, afin d'éviter une aggravation de l'état de santé de l'intéressée, déjà extrêmement précaire.</w:t>
      </w:r>
    </w:p>
    <w:p>
      <w:r>
        <w:rPr>
          <w:b/>
        </w:rPr>
        <w:t>E. 6.7</w:t>
      </w:r>
    </w:p>
    <w:p>
      <w:r>
        <w:t>Le Tribunal en arrive dès lors à la conclusion que l'exécution du renvoi de A._______ et de son fils doit être considérée, en l'état, comme illicite, aussi bien que non raisonnablement exigible. Dès lors, il y a lieu de prononcer leur admission provisoire ; celle-ci, en principe d'une durée d'un an (art. 85 al. 1 LEtr), renouvelable si nécessaire, apparaît à même de limiter les risques sérieux encourus par la mère de l'enfant, en empêchant la cessation des contacts entre eux.</w:t>
      </w:r>
    </w:p>
    <w:p>
      <w:r>
        <w:rPr>
          <w:b/>
        </w:rPr>
        <w:t>E. 7</w:t>
      </w:r>
    </w:p>
    <w:p>
      <w:r>
        <w:t>En conséquence, le recours doit être admis et la décision attaquée annulée, en tant qu'elle ordonne l'exécution du renvoi. L'autorité de première instance est invitée à prononcer l'admission provisoire du recourant et de son enfant. Leur situation concrète devra être revue par le SEM à intervalles réguliers, en principe de douze mois, et faire l'objet d'une nouvelle appréciation, en fonction de l'évolution de l'état de C._______, et de leur situation personnelle.</w:t>
      </w:r>
    </w:p>
    <w:p>
      <w:r>
        <w:rPr>
          <w:b/>
        </w:rPr>
        <w:t>E. 8.1</w:t>
      </w:r>
    </w:p>
    <w:p>
      <w:r>
        <w:t>Compte tenu de l'issue de la procédure, des frais réduits (art. 63 al. 1 PA) sont mis à la charge du recourant.</w:t>
      </w:r>
    </w:p>
    <w:p>
      <w:r>
        <w:rPr>
          <w:b/>
        </w:rPr>
        <w:t>E. 8.2</w:t>
      </w:r>
    </w:p>
    <w:p>
      <w:r>
        <w:t>Quant à l'allocation de dépens au sens de l'art. 64 al. 1 PA, elle ne se justifie pas en l'espèce. En effet, le recourant, qui n'a pas recouru aux services d'un mandataire, n'a pas démontré avoir eu à supporter des frais indispensables et d'une certaine importance rendus nécessaires par le dépôt de son recours (cf. art. 7 al. 1 et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