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E-2195/2020 vom 18. November 2020</w:t>
      </w:r>
    </w:p>
    <w:p>
      <w:r>
        <w:t>Bundesverwaltungsgericht, 2020-11-18, DE</w:t>
      </w:r>
    </w:p>
    <w:p>
      <w:r>
        <w:rPr>
          <w:b/>
        </w:rPr>
        <w:t xml:space="preserve">Quelle: </w:t>
      </w:r>
      <w:r>
        <w:t>https://mcp.opencaselaw.ch/entscheid/bvger_E-2195_2020</w:t>
      </w:r>
    </w:p>
    <w:p>
      <w:r>
        <w:t>FR: TAF E-2195/2020 du 18 novembre 2020</w:t>
      </w:r>
    </w:p>
    <w:p>
      <w:r>
        <w:t>IT: TAF E-2195/2020 del 18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Spruchkörper wird in der Regel auf Antrag hin bekanntgegeben. Dies ist vorliegend versehentlich unterblieben. Der Spruchkörper wird mithin mit vorliegendem Urteil bekanntgegeben.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Zur Begründung des ablehnenden Asylentscheids führte die Vorinstanz aus, dass die Beschwerdeführerin lediglich geltend gemacht habe, wegen der Probleme ihres Vaters ausgereist zu sein. Das Asylgesuch ihrer Eltern sei mangels Glaubhaftigkeit der Vorbringen mit Verfügung vom 24. März 2020 abgelehnt worden. In Ermangelung einer Verfolgungssituation ihres Vaters bestehe kein Anlass zur Annahme, dass sie bei der Rückkehr in die ARK einer Reflexverfolgung ausgesetzt wäre. Ohnehin würden ihre Vorbringen auch für sich selbst betrachtet keinen Rückschluss auf eine Reflexverfolgung zulassen. Es seien nämlich keine objektiven Anhaltspunkte dafür vorhanden, dass sie bei einer Rückkehr in die ARK befürchten müsste, wegen ihres Vaters seitens der Behörden oder des Barzani-Clans Übergriffen ausgesetzt zu sein, zumal sie explizit zu Protokoll gegeben habe, vor der Ausreise keine Probleme gehabt zu haben. Es könne somit nicht davon ausgegangen werden, dass sie in den Fokus des Barzani-Clans oder der Behörden geraten wäre.</w:t>
      </w:r>
    </w:p>
    <w:p>
      <w:r>
        <w:rPr>
          <w:b/>
        </w:rPr>
        <w:t>E. 5.2</w:t>
      </w:r>
    </w:p>
    <w:p>
      <w:r>
        <w:t>Mit Verweis auf die im Verfahren ihrer Familie eingereichte Beschwerde (E-2194/2020) wird in der die Beschwerdeführerin betreffenden Beschwerde ausgeführt, dass der Ausgang des vorliegenden Verfahrens massgeblich von demjenigen ihrer Familie beziehungsweise der Glaubhaftigkeit der Vorbringen ihrer Eltern abhängig sei. Zum einen seien Verfahrensrechte sowohl der Mutter als auch des Vaters der Beschwerdeführerin verletzt worden. Zum anderen seien die Asylgründe insgesamt glaubhaft und nachvollziehbar dargelegt worden. Die Beschwerdeführerin habe aufgrund der genannten Gründe mit ihrer Familie flüchten müssen. Sie könne nicht alleine zurück in ihre Heimat, da ihr dort aufgrund der Ereignisse mit ihrem Vater die sofortige Verhaftung oder noch Schlimmeres drohen würde. Ausserdem würde sie als Druckmittel benutzt werden, um ihren Vater zur Rückkehr zu zwingen.</w:t>
      </w:r>
    </w:p>
    <w:p>
      <w:r>
        <w:rPr>
          <w:b/>
        </w:rPr>
        <w:t>E. 5.3</w:t>
      </w:r>
    </w:p>
    <w:p>
      <w:r>
        <w:t>Für die Ausführungen im Rahmen der Vernehmlassung und der Replik, in welchen ausschliesslich auf das Asylvorbringen der Eltern und die Beurteilung der Glaubhaftigkeit Bezug genommen wird, ist auf das Verfahren E-2194/2020 zu verweisen.</w:t>
      </w:r>
    </w:p>
    <w:p>
      <w:r>
        <w:rPr>
          <w:b/>
        </w:rPr>
        <w:t>E. 6</w:t>
      </w:r>
    </w:p>
    <w:p>
      <w:r>
        <w:t>Eine Prüfung der Akten ergibt, dass die vorinstanzliche Verfügung zu bestätigen ist. Im Verfahren der Eltern und minderjährigen Geschwister der Beschwerdeführerin (E-2194/2020) kommt das Bundesverwaltungsgericht mit Urteil vom gleichen Tag zum Schluss, die Vorbringen seien nicht glaubhaft gemacht worden und eine flüchtlingsrechtlich relevante Gefährdung sei zu verneinen. Da die Beschwerdeführerin keine eigenen Fluchtgründe geltend macht, kann vollumfänglich auf die Erwägungen im genannten Entscheid verwiesen werden (a.a.O. E. 6 ff.). Zusammenfassend ist es der Beschwerdeführerin nicht gelungen, ihre Flüchtlingseigenschaft nachzuweisen oder zumindest glaubhaft zu machen.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(Art. 32 AsylV1).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«real risk») nachweisen oder glaubhaft machen, dass ihr im Fall einer Rückschiebung Folter oder unmenschliche Behandlung drohen würde (vgl. Urteil des EGMR Saadi gegen Italien 28. Februar 2008, Grosse Kammer 37201/06, §§ 124-127 m.w.H.). Nachdem es der Beschwerdeführerin nicht gelungen ist, eine Verfolgung nachzuweisen oder glaubhaft zu machen, ist diese Voraussetzung nicht erfüllt. Ferner lässt die allgemeine Menschenrechtssituation im Gebiet des «Kurdistan Regional Government (KRG)» den Wegweisungsvollzug zum heutigen Zeitpunkt nicht als unzulässig erscheinen (vgl. den als Referenzurteil publizierten Entscheid des BVGer E-3737/2015 vom 14. Dezember 2015 E. 6.3, mit Hinweis auf E-847/2014 vom 13. April 2015; vgl. E-6504/2018 vom 11. Dezember 2018 E. 7.2.2).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w:t>
      </w:r>
    </w:p>
    <w:p>
      <w:r>
        <w:rPr>
          <w:b/>
        </w:rPr>
        <w:t>E. 8.4.2</w:t>
      </w:r>
    </w:p>
    <w:p>
      <w:r>
        <w:t>Die Beschwerdeführerin lebte bis zu ihrer Ausreise Ende August 2019 in Dohuk. Gemäss eigenen Aussagen verfügt sie sowohl mütterlicherseits als auch väterlicherseits über Verwandte in Dohuk beziehungsweise der Autonomen Region Kurdistan. Demnach kann davon ausgegangen werden, dass die Beschwerdeführerin dort über ein tragfähiges Beziehungsnetz verfügt, auf dessen Unterstützung sie zählen kann, zumal sie mit ihren Eltern und Geschwistern in ihren Heimatstaat zurückkehrt. Die Beschwerdeführerin verfügt sodann über eine gute Schulbildung, hat die 12. Klasse abgeschlossen. Es liegen überdies keine Anhaltspunkte für relevante gesundheitliche Probleme vor.</w:t>
      </w:r>
    </w:p>
    <w:p>
      <w:r>
        <w:rPr>
          <w:b/>
        </w:rPr>
        <w:t>E. 8.4.3</w:t>
      </w:r>
    </w:p>
    <w:p>
      <w:r>
        <w:t>Insgesamt sind keine Aspekte ersichtlich, die darauf schliessen lassen würden, dass die Beschwerdeführerin bei einer Rückkehr aus persönlichen Gründen wirtschaftlicher, sozialer oder gesundheitlicher Art in eine existenzielle Notlage geraten würden.</w:t>
      </w:r>
    </w:p>
    <w:p>
      <w:r>
        <w:rPr>
          <w:b/>
        </w:rPr>
        <w:t>E. 8.4.4</w:t>
      </w:r>
    </w:p>
    <w:p>
      <w:r>
        <w:t>Nach dem Gesagten erweist sich der Vollzug der Wegweisung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statt vieler: Urteil der BVGer E-895/2020 vom 15. April 2020 E. 9.6).</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Mit Zwischenverfügung vom 8. Mai 2020 wurde jedoch das Gesuch um unentgeltliche Prozessführung gemäss Art. 65 Abs. 1 VwVG gutgeheissen, weshalb keine Verfahrenskosten zu erheben sind.</w:t>
      </w:r>
    </w:p>
    <w:p>
      <w:r>
        <w:rPr>
          <w:b/>
        </w:rPr>
        <w:t>E. 10.2</w:t>
      </w:r>
    </w:p>
    <w:p>
      <w:r>
        <w:t>Ebenfalls mit Zwischenverfügung vom 8. Mai 2020 wurde das Gesuch um amtliche Verbeiständung gutgeheissen und der rubrizierte Rechtsvertreter lic. iur. Roger Kuhn als amtlicher Rechtsbeistand eingesetzt. Eine Kostennote wurde nicht eingereicht. Auf die Nachforderung einer solchen kann indessen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dem Rechtsvertreter - unter Berücksichtigung des im Verfahren E-2194/2020 ausgerichteten Honorars - ein Honorar im Umfang von Fr. 200.-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