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E-2194/2021 vom 28. Mai 2021</w:t>
      </w:r>
    </w:p>
    <w:p>
      <w:r>
        <w:t>Bundesverwaltungsgericht, 2021-05-28, DE</w:t>
      </w:r>
    </w:p>
    <w:p>
      <w:r>
        <w:rPr>
          <w:b/>
        </w:rPr>
        <w:t xml:space="preserve">Quelle: </w:t>
      </w:r>
      <w:r>
        <w:t>https://mcp.opencaselaw.ch/entscheid/bvger_E-2194_2021</w:t>
      </w:r>
    </w:p>
    <w:p>
      <w:r>
        <w:t>FR: TAF E-2194/2021 du 28 mai 2021</w:t>
      </w:r>
    </w:p>
    <w:p>
      <w:r>
        <w:t>IT: TAF E-2194/2021 del 28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und Art 10 der Verordnung über Massnahmen im Asylbereich im Zusammenhang mit dem Coronavirus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vorliegend auf die Durchführung eines Schriftenwechsels verzichtet.</w:t>
      </w:r>
    </w:p>
    <w:p>
      <w:r>
        <w:rPr>
          <w:b/>
        </w:rPr>
        <w:t>E. 4.1</w:t>
      </w:r>
    </w:p>
    <w:p>
      <w:r>
        <w:t>Die Beschwerdeführerin rügt, die Vorinstanz habe den Untersuchungsgrundsatz (Art. 12 VwVG i.V.m. Art. 6 AsylG) verletzt (vgl. Beschwerde, Ziff. 44 ff.). Sie begründet dies damit, dass der Sachverhalt bezüglich der von der Beschwerdeführerin geltend gemachten Zwangsheirat nicht rechtsgenüglich abgeklärt worden sei.</w:t>
      </w:r>
    </w:p>
    <w:p>
      <w:r>
        <w:rPr>
          <w:b/>
        </w:rPr>
        <w:t>E. 4.2</w:t>
      </w:r>
    </w:p>
    <w:p>
      <w:r>
        <w:t>Diese formelle Rüge erweist sich als unbegründet. Der Beschwerdeführerin wurde vielmehr in der Anhörung vom 29. März 2021 ausführlich Gelegenheit gegeben, ihre Fluchtvorbringen zu erläutern (vgl. act. 1087525-31/17, F69 ff. [nachfolgend act. 31/17]). Auch wurde sie mehrfach aufgefordert, ihre Gründe zu konkretisieren (vgl. act. 31/17 F76, F77). Der Beschwerdeführerin war es somit möglich, ihr Asylgesuch hinreichend zu begründen. Aus der Beschwerde geht denn auch nicht konkret hervor, welche zusätzlichen Fragen der Beschwerdeführerin hätten gestellt werden sollen, um dem Erfordernis der rechtsgenüglichen Sachverhaltsabklärung Rechnung zu tragen. In diesem Zusammenhang ist auch auf die der Beschwerdeführerin obliegende Mitwirkungspflicht an der Erstellung des Sachverhalts mitzuwirken (Art. 8 AsylG), hinzuweisen.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Die Vorinstanz begründete ihre Verfügung im Asylpunkt im Wesentlichen damit, dass sie die Asylvorbringen der Beschwerdeführerin als unglaubhaft erachte. Schon an dem von der Beschwerdeführerin geltend gemachten Besuch der Universität H._______ bestünden ernsthafte Zweifel, habe sie doch unterschiedliche Angaben dazu gemacht, ob sie das Studium direkt nach dem Abschluss des Abiturs im Jahr 2017 oder erst ein Jahr später angefangen habe. Hinzu komme in dieser Hinsicht, dass sie tatsachenwidrig angegeben habe, dass an der H._______ Universität Studiengebühren erhoben würden; ebenfalls unzutreffend sei ihre Beschreibung der Studienstruktur. Sodann seien die Angaben der Beschwerdeführerin zu ihrer Biographie ab dem Jahr 2019 inhaltlich wie auch vom Umfang her äusserst knapp ausgefallen, und es sei kein klares Bild entstanden. Zudem habe sie divergierende Angaben dazu gemacht, wann die Probleme mit ihrem Vater angefangen hätten und bis wann sie an der Universität studiert habe. Auf Vorhalt hin habe sie diese Unklarheiten nicht beseitigen können. Widersprüchlich sei auch die Aussage, dass sie vor Beginn der Probleme mit ihrem Vater nie mit dem Gedanken gespielt habe, Marokko zu verlassen, zumal sie als Grund für den Visumsantrag angegeben habe, sie habe Marokko unbedingt verlassen wollen. Auf Vorhalt hin habe sie sich diesbezüglich in weitere Widersprüche verstrickt. Widersprüchlich seien weiter auch die Angaben der Beschwerdeführerin zu dem Mann, mit dem ihr Vater sie angeblich habe verheiraten wollen. Einmal habe die Beschwerdeführerin davon gesprochen, dass es sich um einen vermögenden Arbeitskollegen handle, den der Vater sehr gut kenne, beziehungsweise um einen langjährigen Freund. Danach gefragt, wie es komme, dass der Arbeitskollege reich, ihre eigene Familie jedoch ihren Angaben gemäss arm sei, habe die Beschwerdeführerin sich korrigiert und ausgeführt, dass es sich bei dem Mann nicht um einen Arbeitskollegen ihres Vaters, sondern um dessen Arbeitgeber handle. Diese Erklärung wirke konstruiert. Auch die Angaben der Beschwerdeführerin zu der Zeit, in der sie eingesperrt gewesen sei, seien uneinheitlich. Einmal habe sie von circa 18 Tagen gesprochen, nur wenig später hingegen angegeben, sie sei die ganze Zeit eingesperrt gewesen und sie habe kein Zeitgefühl gehabt, ob es Nachtoder Tag gewesen sei. Auf erneute Nachfrage hin habe sie erneut angegeben, es habe sich um circa 18 Tage gehandelt. Auf die unterschiedlichen Angaben angesprochen, sei sie zunächst ausgewichen, dann habe sie ausgeführt, es sei ihr ab Sommer 2020 nicht mehr erlaubt gewesen, das Haus zu verlassen oder mit jemandem Kontakt aufzunehmen; ins Zimmer eingesperrt habe sie ihr Vater nur für 18 Tage. Sie wisse jedoch nicht mehr, wann dies der Fall gewesen sei. Dass sie den Zeitpunkt des Einsperrens nicht habe angeben können überrasche und sei angesichts ihrer gesamten Vorbringen nicht nachvollziehbar.</w:t>
      </w:r>
    </w:p>
    <w:p>
      <w:r>
        <w:rPr>
          <w:b/>
        </w:rPr>
        <w:t>E. 6.2</w:t>
      </w:r>
    </w:p>
    <w:p>
      <w:r>
        <w:t>Die Beschwerdeführerin hält den vorinstanzlichen Erwägungen entgegen, ihre Vorbringen würden zahlreiche Realkennzeichen aufweisen, was für die Glaubwürdigkeit ihrer Aussage spreche. Sodann versucht sie die von der Vorinstanz festgestellten Unglaubhaftigkeitsmerkmale zu erklären beziehungsweise zu relativieren. Für ihre Ausführungen im Detail, wird sofern notwendig, in den nachfolgenden Erwägungen eingegangen.</w:t>
      </w:r>
    </w:p>
    <w:p>
      <w:r>
        <w:rPr>
          <w:b/>
        </w:rPr>
        <w:t>E. 7.1</w:t>
      </w:r>
    </w:p>
    <w:p>
      <w:r>
        <w:t>Nach Prüfung der Akten kommt das Bundesverwaltungsgericht zum Schluss, dass die Vorinstanz die Vorbringen der Beschwerdeführerin zu Recht als unglaubhaft qualifiziert hat. Die Ausführungen in der Beschwerdeschrift vermögen den Erwägungen des SEM letztlich nichts Stichhaltiges entgegenzusetzen. Somit kann vorab auf die zutreffenden Erwägungen der angefochtenen Verfügung verwiesen werden.</w:t>
      </w:r>
    </w:p>
    <w:p>
      <w:r>
        <w:rPr>
          <w:b/>
        </w:rPr>
        <w:t>E. 7.2</w:t>
      </w:r>
    </w:p>
    <w:p>
      <w:r>
        <w:t>Selbst wenn die Beschwerdeführerin in Bezug auf einzelne von der Vorinstanz festgestellte Unglaubhaftigkeitsmerkmale teilweise plausible Erklärungen vorbringt, vermag dies in einer Gesamtsicht aufgrund der zahlreichen Widersprüche in wesentlichen Aspekten nichts daran zu ändern, dass ihre Fluchtvorbringen den Anforderungen an die Glaubhaftigkeit nicht standhalten.</w:t>
      </w:r>
    </w:p>
    <w:p>
      <w:r>
        <w:rPr>
          <w:b/>
        </w:rPr>
        <w:t>E. 7.3</w:t>
      </w:r>
    </w:p>
    <w:p>
      <w:r>
        <w:t>Zunächst ist der Vorinstanz beizupflichten, dass die Beschwerdeführerin zum Zeitpunkt der Aufnahme ihres Studiums nur unpräzise und vage Angaben gemacht hat (vgl. act. 31/17, F35 ff.). Zwar trifft zu, dass bei einer Berücksichtigung des weiteren Kontexts der Aussagen der Beschwerdeführerin zu vermuten ist, dass sie zwischen 2017 und 2019 die Universität besucht haben könnte (vgl. Beschwerde, Ziff. 17). Dies vermag allerdings nicht zu erklären, warum die Beschwerdeführerin keine klaren Angaben dazu machen kann, wann sie ihr Studium aufgenommen beziehungsweise auch aufgegeben hat (vgl. act. 31/17, F40), zumal die betreffende Zeit noch nicht lange zurückliegt. Wie es sich damit genau verhält, muss vorliegend aber ohnehin nicht abschliessend geprüft werden, steht der Abbruch des Universitätsstudiums doch nicht in unmittelbarem Zusammenhang mit der Flucht der Beschwerdeführerin. Insofern erübrigt sich auch eine Würdigung der unpräzisen Aussagen der Beschwerdeführerin zum Studiensystem in Marokko, wobei insoweit aber immerhin darauf hinzuweisen ist, dass die Erklärung der Beschwerdeführerin, sich heimlich an der Universität immatrikuliert zu haben und keine Möglichkeit zum Austausch mit Kommilitonen und zur Teilnahme an Informationsveranstaltungen gehabt zu haben (vgl. Ziff. 18 der Beschwerde), nicht überzeugt.</w:t>
      </w:r>
    </w:p>
    <w:p>
      <w:r>
        <w:rPr>
          <w:b/>
        </w:rPr>
        <w:t>E. 7.4</w:t>
      </w:r>
    </w:p>
    <w:p>
      <w:r>
        <w:t>Zutreffend erscheint nach Durchsicht der Akten insbesondere auch die Würdigung der Vorinstanz, dass die Beschwerdeführerin eine drohende Zwangsverheiratung nicht glaubhaft machen konnte. Zu berücksichtigen sind in diesem Zusammenhang verschiedene Aspekte. Stark ins Gewicht fällt, dass die Beschwerdeführerin in wesentlichen Aspekten ihres Vorbringens unklare, widersprüchliche und unsubstanziierte Angaben machte. Dies betrifft - wie die Vorinstanz richtig ausführt - zum einen die Person des Mannes, mit dem ihr Vater sie angeblich verheiraten wollte (Freund des Vaters, den der Vater seit langer Zeit kenne [vgl. act. 31/17, F75], Freund und Arbeitskollege [vgl. act. 31/17, F88], Arbeitgeber [vgl. act. 31/17, F90]). Zum anderen betreffen sie die Frage, wie lange sie eingesperrt war (eine Nacht [vgl. act. 31/17, F75], 18 Tage [vgl. act. 31/17, F76] ohne dabei zu wissen, ob es Tag oder Nacht gewesen sei [vgl. act. 31/17, F77], die ganze Zeit [vgl. act. 31/17, F77]). Hinzu kommt, dass sie den Zeitpunkt wann genau sie von ihrem Vater aufgrund ihrer Verweigerungshaltung eingesperrt worden sei, nicht genauer in die angeblich erlebten Geschehnisse einordnen konnte. Zunächst verorte sie diesen in der Zeitphase unmittelbar vor ihrer Flucht (vgl. act. 31/17, F77ff.). Zu einem späteren Zeitpunkt der Anhörung vermochte die Beschwerdeführerin hingegen das Eingesperrtsein zeitlich überhaupt nicht mehr einzugrenzen (vgl. act. 31/17, F93). Entgegen den Beschwerdeausführungen lässt sich dieser Widerspruch nicht mit der Nervosität und Angespanntheit der Beschwerdeführerin erklären (vgl. Beschwerde, Ziff. 31). Dieses Aussageverhalten lässt darauf schliessen, dass die Beschwerdeführerin die angeblich fluchtauslösenden Momente nicht selbst erlebt hat. Dieser Schluss drängt sich auch deshalb auf, weil die Beschwerdeführerin in der Anhörung zunächst vorbrachte, sie habe Marokko schon im Jahr 2019 unbedingt verlassen wollen (vgl. act. 31/17, F67). Zu einem späteren Zeitpunkt führte sie hingegen aus, bis zu den Problemen mit ihrem Vater nie mit dem Gedanken gespielt zu haben, Marokko zu verlassen (vgl. act. 31/17, F86). Auch diesbezüglich sind ihre Aussagen mithin in sich nicht schlüssig; dies vermochte sie in der Anhörung auch nicht plausibel aufzulösen (vgl. act. 31/17, F102).</w:t>
      </w:r>
    </w:p>
    <w:p>
      <w:r>
        <w:rPr>
          <w:b/>
        </w:rPr>
        <w:t>E. 7.5</w:t>
      </w:r>
    </w:p>
    <w:p>
      <w:r>
        <w:t>Insgesamt wirkt das Vorbringen der Beschwerdeführerin konstruiert. Dies auch mit Blick auf den bereits im Jahr 2019 gestellten Visumsantrag für I._______. Es scheint wahrscheinlich, dass die Beschwerdeführerin schon längere Zeit nach einem Weg gesucht hat, in die Schweiz zu ihrem hier lebenden Freund zu kommen. Darauf deutet nicht zuletzt auch hin, dass die Beschwerdeführerin nach ihrer Ankunft in der Schweiz fast einen Monat zuwartete, bis sie ihr Asylgesuch stellte.</w:t>
      </w:r>
    </w:p>
    <w:p>
      <w:r>
        <w:rPr>
          <w:b/>
        </w:rPr>
        <w:t>E. 7.6</w:t>
      </w:r>
    </w:p>
    <w:p>
      <w:r>
        <w:t>Zusammenfassend ergibt sich nach dem Gesagten, dass die Vorinstanz die Flüchtlingseigenschaft der Beschwerdeführerin zu Recht verneint und ihr Asylgesuch abgewiesen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Eine andere Beurteilung ergibt sich auch nicht aus dem Umstand, dass die Beschwerdeführerin in der Schweiz einen Freund hat. Die Wegweisung wurde demnach ebenfalls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8.4</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8.5.2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Marokko ist demnach unter dem Aspekt von Art. 5 AsylG rechtmässig.</w:t>
      </w:r>
    </w:p>
    <w:p>
      <w:r>
        <w:rPr>
          <w:b/>
        </w:rPr>
        <w:t>E. 8.5.3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der Beschwerdeführerin vorliegend nicht gelungen. Ebenso wenig lässt die allgemeine Menschenrechtssituation in Marokko den Wegweisungsvollzug zum heutigen Zeitpunkt als unzulässig erscheinen.</w:t>
      </w:r>
    </w:p>
    <w:p>
      <w:r>
        <w:rPr>
          <w:b/>
        </w:rPr>
        <w:t>E. 8.5.4</w:t>
      </w:r>
    </w:p>
    <w:p>
      <w:r>
        <w:t>Gründe, die einem Vollzug der Wegweisung nach Art. 8 EMRK (Recht auf Familienleben) entgegenstehen könnten, ergeben sich mit Blick auf die geltend gemachte Beziehung nicht.</w:t>
      </w:r>
    </w:p>
    <w:p>
      <w:r>
        <w:rPr>
          <w:b/>
        </w:rPr>
        <w:t>E. 8.5.5</w:t>
      </w:r>
    </w:p>
    <w:p>
      <w:r>
        <w:t>Nach dem Gesagten ist der Vollzug der Wegweisung sowohl im Sinne der asyl- als auch der völkerrechtlichen Bestimmungen zulässig.</w:t>
      </w:r>
    </w:p>
    <w:p>
      <w:r>
        <w:rPr>
          <w:b/>
        </w:rPr>
        <w:t>E. 8.6.1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8.6.2</w:t>
      </w:r>
    </w:p>
    <w:p>
      <w:r>
        <w:t>In Marokko herrscht weder Krieg, Bürgerkrieg noch eine Situation allgemeiner Gewalt, aufgrund derer die Zivilbevölkerung als konkret gefährdet bezeichnet werden müsste. Der Wegweisungsvollzug ist daher grundsätzlich zumutbar (vgl. statt vieler Urteil des BVGer E-2647/2020 vom 2. September 2020 E. 9.3.2). Vorliegend sprechen auch keine individuellen Gründe gegen die Zumutbarkeit des Wegweisungsvollzugs.</w:t>
      </w:r>
    </w:p>
    <w:p>
      <w:r>
        <w:rPr>
          <w:b/>
        </w:rPr>
        <w:t>E. 8.6.3</w:t>
      </w:r>
    </w:p>
    <w:p>
      <w:r>
        <w:t>Die Beschwerdeführerin ist gesund, verfügt über eine gute Schulbildung und ist im erwerbsfähigen Alter. Sie hat auch in anderen Teilen Marokkos sowie in Europa Verwandte. Zudem hat sie einen Freund in der Schweiz. Es ist mithin davon auszugehen, dass sie bei einer Rückkehr nicht in eine existentielle Not geraten wird.</w:t>
      </w:r>
    </w:p>
    <w:p>
      <w:r>
        <w:rPr>
          <w:b/>
        </w:rPr>
        <w:t>E. 8.6.4</w:t>
      </w:r>
    </w:p>
    <w:p>
      <w:r>
        <w:t>Allfällige wirtschaftliche Reintegrationsschwierigkeiten vermögen dem Vollzug nicht entgegenzustehen, da blosse soziale oder wirtschaftliche Schwierigkeiten, von denen die ansässige Bevölkerung betroffen ist, für sich gesehen keine existenzbedrohende Situation zu begründen vermögen (vgl. BVGE 2010/41 E. 8.3.6).</w:t>
      </w:r>
    </w:p>
    <w:p>
      <w:r>
        <w:rPr>
          <w:b/>
        </w:rPr>
        <w:t>E. 8.7</w:t>
      </w:r>
    </w:p>
    <w:p>
      <w:r>
        <w:t>Sodann obliegt es der Beschwerdeführerin, sich bei der zuständigen Vertretung des Heimatstaates die für eine Rückkehr notwendigen Reisedokumente zu beschaffen (vgl. Art. 8 Abs. 4 AsylG und dazu auch BVGE 2008/34 E. 12), weshalb der Vollzug der Wegweisung als möglich zu bezeichnen ist (Art. 83 Abs. 2 AIG). Auch die Corona-Pandemie steht dem Wegweisungsvollzug nicht entgegen. Ihr ist im Rahmen der Vollzugsmodalitäten Rechnung zu tragen, indem etwa der Zeitpunkt des Vollzugs der Situation im Heimatland angepasst wird.</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Aus den vorstehenden Erwägungen ergibt sich, dass die Beschwerdebegehren der Beschwerdeführerin schon bei Einreichung des Rechtsmittels als aussichtslos zu gelten hatten. Damit ist - ungeachtet der Frage der prozessualen Bedürftigkeit der Beschwerdeführerin - eine der kumulativ zu erfüllenden Voraussetzungen für die Gewährung der unentgeltlichen Rechtspflege nach Art. 65 Abs. 1 VwVG nicht erfüllt. Das entsprechende Gesuch ist abzuweisen. Das Gesuch um Verzicht auf die Kostenvorschusserhebung ist mit dem vorliegenden 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