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E-2193/2007 vom 7. Oktober 2011</w:t>
      </w:r>
    </w:p>
    <w:p>
      <w:r>
        <w:t>Bundesverwaltungsgericht, 2011-10-07, DE</w:t>
      </w:r>
    </w:p>
    <w:p>
      <w:r>
        <w:rPr>
          <w:b/>
        </w:rPr>
        <w:t xml:space="preserve">Quelle: </w:t>
      </w:r>
      <w:r>
        <w:t>https://mcp.opencaselaw.ch/entscheid/bvger_E-2193_2007</w:t>
      </w:r>
    </w:p>
    <w:p>
      <w:r>
        <w:t>FR: TAF E-2193/2007 du 7 octobre 2011</w:t>
      </w:r>
    </w:p>
    <w:p>
      <w:r>
        <w:t>IT: TAF E-2193/2007 del 7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Art. 50 und 52 VwVG). Auf die Beschwerde ist einzutreten.</w:t>
      </w:r>
    </w:p>
    <w:p>
      <w:r>
        <w:rPr>
          <w:b/>
        </w:rPr>
        <w:t>E. 1.4</w:t>
      </w:r>
    </w:p>
    <w:p>
      <w:r>
        <w:t>Das am (Datum) geborene Kind B._______ wird in das Beschwerdeverfahren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die Beschwerdeführerin in ihrer Beschwerdeeingabe lediglich die Feststellung der Flüchtlingseigenschaft und die Gewährung der vorläufigen Aufnahme beantragt hat und das BFM mit Verfügung vom 15. April 2011 in Wiedererwägung ihrer Verfügung vom 22. Februar 2007 die Beschwerdeführerin und ihr Kind in der Schweiz vorläufig aufgenommen hat, ist vorliegend Prüfungsgegenstand einzig die Frage, ob das BFM zu Recht die Flüchtlingseigenschaft verweigert hat.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sich darauf beruft, dass durch sein Verhalten nach der Ausreise aus dem Heimat- oder Herkunftsstaat eine Gefährdungssituation erst geschaffen worden ist, macht subjektive Nachfluchtgründe geltend (vgl. Art. 54 AsylG). Per­sonen mit subjektiven Nachfluchtgründen erhalten zwar kein Asyl, werden jedoch als Flüchtlinge vorläufig aufgenommen (vgl. Entschei­dungen und Mitteilungen der ARK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2009/28 E. 7.1. S. 352).</w:t>
      </w:r>
    </w:p>
    <w:p>
      <w:r>
        <w:rPr>
          <w:b/>
        </w:rPr>
        <w:t>E. 5.1</w:t>
      </w:r>
    </w:p>
    <w:p>
      <w:r>
        <w:t>Das Bundesamt begründete seinen ablehnenden Entscheid im Wesentlichen damit, exilpolitische Aktivitäten könnten nur dann im Sinne von subjektiven Nachfluchtgründen zur Flüchtlingseigenschaft führen, wenn davon ausgegangen werden müsse, dass diese Aktivitäten im Falle einer Rückkehr in den Iran mit überwiegender Wahrscheinlichkeit ernsthafte Massnahmen für den Betroffenen zur Folge hätten. Selbst wenn die iranischen Behörden über die politischen Aktivitäten ihrer Staatsangehörigen im Ausland informiert seien, könnten sie angesichts der hohen Zahl der im Ausland lebenden iranischen Staatsangehörigen nicht jede einzelne Person überwachen und identifizieren. Es dürfte den iranischen Behörden auch bekannt sein, dass viele iranische Emigranten aus vorwiegend wirtschaftlichen Gründen versuchten, sich in Europa und speziell auch in der Schweiz zum Abschluss ihres Asylverfahrens ein dauerhaftes Aufenthaltsrecht zu erwirken, indem sie regimekritischen Aktivitäten jeglicher Art nachgingen. Die iranischen Behörden hätten indessen nur dann Interesse an der Identifizierung von Personen, wenn die Aktivitäten als konkrete Bedrohung für das politische System wahrgenommen würden. Die geltend gemachten exilpolitischen Aktivitäten der Beschwerdeführerin - die regelmässige Teilnahme an Demonstrationen und die von ihr im Internet publizierten regimekritischen Aufsätze - würden im Falle einer Rückkehr in den Iran keine konkrete Gefährdung begründen.</w:t>
      </w:r>
    </w:p>
    <w:p>
      <w:r>
        <w:rPr>
          <w:b/>
        </w:rPr>
        <w:t>E. 5.2</w:t>
      </w:r>
    </w:p>
    <w:p>
      <w:r>
        <w:t>In der Rechtsmitteleingabe wird die Feststellung der Flüchtlingseigenschaft beantragt und dabei geltend gemacht, die Beschwerdeführerin setze ihr politisches Engagement in der Schweiz fort und engagiere sich für die Organisation (Name), welche sich für mehr Freiheit und gegen die Unterdrückung der Opposition im Iran einsetze. Sie nehme an Versammlungen und Demonstrationen teil und habe eigene, unter ihrem Namen verfasste Artikel im Internet publiziert. Die Organisation mache zudem in Zusammenarbeit mit anderen Organisationen wie die International Federation of Iranian Refugees (IFIR) auf die Situation von Asylsuchenden in der Schweiz aufmerksam. Gleichzeitig wird auf die Länderanalyse der Schweizerischen Flüchtlingshilfe (SFH) vom 4. April 2006 ("Iran: Rückkehrgefährdung für AktivistInnen und Mitglieder exilpolitischer Organisationen - Informationsgewinnung iranischer Behörden") hingewiesen. Entgegen der Argumentation der Vorinstanz sei nicht entscheidend, welchen mutmasslichen Zweck die Beschwerdeführerin durch ihre Teilnahmen an Demonstrationen und Publikation regimekritischer Artikel zu erreichen versuche, sondern ob die iranischen Behörden ihr Verhalten als staatsfeindlich einstuften. Die eingereichten Unterlagen machten deutlich, dass sie leicht zu identifizieren wäre. Sie wäre daher im Falle einer Rückkehr in den Iran dem Risiko asylrelevanter Verfolgung ausgesetzt. Zu berücksichtigen sei ferner, dass ihre (Verwandte) in der Schweiz als Flüchtlinge vorläufig aufgenommen seien. Weiter sei auch der Umstand, dass der Vater der Beschwerdeführerin seine regimekritische Haltung mit seinem Leben habe bezahlen müssen, zu berücksichtigen. Im Laufe des Beschwerdeverfahrens wurden, wie im Sachverhalt bereits dargelegt, verschiedene Unterlagen über die exilpolitische Tätigkeit der Beschwerdeführerin seit ihrer Einreise in die Schweiz (Demonstrationen, Kundgebungen und Standaktionen, Verfassen regimekritischer Artikel, eigene Webblog) ins Recht gelegt.</w:t>
      </w:r>
    </w:p>
    <w:p>
      <w:r>
        <w:rPr>
          <w:b/>
        </w:rPr>
        <w:t>E. 6</w:t>
      </w:r>
    </w:p>
    <w:p>
      <w:r>
        <w:t>Im Folgenden ist zu prüfen, ob die Beschwerdeführerin durch ihr Verhalten nach der Ausreise aus dem Heimatland, namentlich dem geltend gemachten exilpolitischen Engagement in der Schweiz, Grund für eine zukünftige Verfolgung durch die iranischen Behörden gesetzt hat und deshalb (das heisst infolge Vorliegens subjektiver Nachfluchtgründe) die Flüchtlingseigenschaft erfüllt.</w:t>
      </w:r>
    </w:p>
    <w:p>
      <w:r>
        <w:rPr>
          <w:b/>
        </w:rPr>
        <w:t>E. 6.1</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SFH-Länderanalyse vom 4. April 2006,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riesigen Datenmengen ohne allzu grossen Aufwand gezielt und umfassend zu überwachen und gegebenenfalls nach Stichworten zu durchsuchen. Diese Überwachung habe nach den Wahlen im Juni 2009 und diesbezüglichen Protesten zugenommen (vgl. SFH; "Iran: Illegale Ausreise/Situation von Mitgliedern der PDKI/Politische Aktivitäten im Exil", SFH-Länderanalyse vom 16. November 2010; "Iran: traitement des requérants d'asile déboutés", SFH-Länderanalyse vom 18. August 2011, S. 8), insbesondere von regierungskritischen exilierten Personen. Diese seien gemäss Angaben des Wall Street Journal mit ähnlichen Methoden belästigt und bedroht worden (vgl. S. 8). Demgegenüber bleibt im Einzelfall zu prüfen, ob die in der Schweiz entwickelten exilpolitischen Aktivitäten bei einer allfälligen Ausschaffung in den Iran mit überwiegender Wahrscheinlichkeit ernsthafte Nachteile im asylrechtlichen Sinne nach sich ziehen würden (vgl. BVGE 2009/28 E. 7.4.3). Es ist dabei davon auszugehen, dass sich die iranischen Geheimdienste auf die Erfassung von Personen konzentrieren, die über die massentypischen und niedrig 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SFH-Länderanalyse vom 4. April 2006, S. 7).</w:t>
      </w:r>
    </w:p>
    <w:p>
      <w:r>
        <w:rPr>
          <w:b/>
        </w:rPr>
        <w:t>E. 6.2</w:t>
      </w:r>
    </w:p>
    <w:p>
      <w:r>
        <w:t>Wie den im Asylpunkt unangefochten gebliebenen Erwägungen der vorinstanzlichen Verfügung vom 22. Februar 2007 entnommen werden kann, vermochte die Beschwerdeführerin eine Vorverfolgung nicht glaubhaft zu machen. Daher steht fest, dass sie vor dem Verlassen ihres Heimatstaates nicht als regimefeindliche Person ins Blickfeld der iranischen Behörden respektive der iranischen Nachrichtendienste geraten ist und entsprechend durch die iranischen Behörden jedenfalls nicht als staatsfeindliche Politaktivistin fichiert war. Aus den im erstinstanzlichen Verfahren sowie auf Beschwerdeebene eingereichten Dokumentation kann entnommen werden, dass die Beschwerdeführerin seit ihrer Einreise in die Schweiz als Mitglied der SPI an zahlreichen Kundgebungen und Veranstaltungen in Schweizer Städten, u.a. als mitverantwortliche Organisatorin teilgenommen hat. Der Zweck der Veranstaltungen, der Protest gegen die iranische Regierung, ist ebenfalls ersichtlich. Weiter soll sie ihren Angaben zufolge über ihren Webblog sowie auf der Homepage (Website) politische Nachrichten aus dem Iran verbreitet haben sowie als Autorin von regimekritischen Beiträgen in Erscheinung getreten sein. Dabei sei sie bereits von anonymen Lesern als Terroristin bezeichnet worden. Dass sie aufgrund ihrer Tätigkeiten markant in Erscheinung getreten wäre, kann den Akten jedoch nicht entnommen werden und lässt auch sonst nicht auf ein herausragendes oppositionelles Engagement schliessen. Die von der Beschwerdeführerin im Rahmen ihrer Teilnahme an Kundgebungen sowie im Internet vorgetragene Kritik - sollten die iranischen Behörden überhaupt davon Kenntnis erlangen respektive erlangt haben - sind aufgrund der gesamten Umstände jedenfalls nicht geeignet, sie als Person mit klar definierten oppositionspolitischen Vorstellungen und persönlichem Agitationspotential, welche zu einer Gefahr für das Regime im Iran werden könnte, erscheinen zu lassen. Die durch die Beschwerdeführerin öffentlich vorgetragene Kritik am Regime weist demnach insgesamt nicht den nötigen Exponierungsgrad auf, um bei den iranischen Behörden den Eindruck zu erwecken, dass sie zu einer Gefahr für den Bestand ihres Regimes werde. An dieser Einschätzung vermag auch der Hinweis auf die im Jahre (Jahreszahl) in der Schweiz festgestellte Flüchtlingseigenschaft ihrer (Verwandte) in der Schweiz nichts zu ändern, zumal sie diese Angehörigen nie in Zusammenhang mit ihrer eigenen politischen Tätigkeit gebracht hat. Auch vermag sie aus dem Vorbringen betreffend ihren Vater, der im Jahre 2001 in einem iranischen Gefängnis umgebracht worden sei, keine Gefährdungssituation abzuleiten, zumal sie in diesem Zusammenhang, wie hievor festgestellt worden ist, keine Vorverfolgung glaubhaft zu machen vermochte. Schliesslich hat die Beschwerdeführerin nicht zum Ausdruck gebracht, dass sie oder ihre im Iran verbliebenen Angehörigen auf irgendeine Weise seitens der iranischen Behörden belästigt oder bedroht worden wären (vgl. SFH-Länderanalyse vom 16. November 2010). Im Übrigen haben Exil-Iraner mit dem Profil der Beschwerdeführerin bei einer Rückkehr in ihren Heimatstaat aufgrund ihrer exilpolitischen Tätigkeiten keine staatlichen Verfolgungsmassnahmen zu befürchten, zumal den iranischen Behörden mittlerweile sehr wohl bewusst sein dürfte, dass die exilpolitische Betätigung vieler iranischer Asylbewerber nach der Ablehnung ihrer Asylgesuche oft zunimmt respektive intensiviert wird oder überhaupt erst ab diesem Zeitpunkt einsetzt (vgl. BVGE 2009/28 E. 7.4.3).</w:t>
      </w:r>
    </w:p>
    <w:p>
      <w:r>
        <w:rPr>
          <w:b/>
        </w:rPr>
        <w:t>E. 6.3</w:t>
      </w:r>
    </w:p>
    <w:p>
      <w:r>
        <w:t>An dieser Stelle ist überdies auf die geltende Praxis des Bundesver-waltungsgerichts hinzuweisen, wonach allein aufgrund der Ausreise oder des Asylgesuches im Ausland keine flüchtlingsrechtlich relevante Verfol-gung im Iran befürchtet werden muss (BVGE 2009/28 E. 7.4.4 S. 367).</w:t>
      </w:r>
    </w:p>
    <w:p>
      <w:r>
        <w:rPr>
          <w:b/>
        </w:rPr>
        <w:t>E. 6.4</w:t>
      </w:r>
    </w:p>
    <w:p>
      <w:r>
        <w:t>Zusammenfassend ist festzustellen, dass die geltend gemachten subjektiven Nachfluchtgründe nicht geeignet sind, eine flüchtlingsrechtlich relevante Verfolgungsfurcht zu begründen, weshalb die Beschwerdefüh-rerin nicht als Flüchtling anerkannt werden kann. An dieser Einschätzung vermögen weder die weiteren Ausführungen in den Eingaben noch die beigelegten Beweismittel etwas zu ändern, weshalb darauf verzichtet werden kann, weiter darauf einzugehen.</w:t>
      </w:r>
    </w:p>
    <w:p>
      <w:r>
        <w:rPr>
          <w:b/>
        </w:rPr>
        <w:t>E. 6.5</w:t>
      </w:r>
    </w:p>
    <w:p>
      <w:r>
        <w:t>Die Vorinstanz hat somit zutreffend festgestellt, die Beschwerdeführerin erfülle die Flüchtlingseigenschaft nicht.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und ihr Kind verfügen weder über eine ausländerrechtliche Aufenthaltsbewilligung noch über einen Anspruch auf Erteilung einer solchen. Die Wegweisung wurde demnach zu Recht angeordnet (Art. 44 Abs. 1 AsylG; BVGE 2009/50 E. 9).</w:t>
      </w:r>
    </w:p>
    <w:p>
      <w:r>
        <w:rPr>
          <w:b/>
        </w:rPr>
        <w:t>E. 8</w:t>
      </w:r>
    </w:p>
    <w:p>
      <w:r>
        <w:t>Aus diesen Erwägungen ergibt sich, dass die angefochtene Verfügung vom 22. Februar 2007 - soweit Gegenstand des vorliegenden Beschwerdeverfahrens - hinsichtlich der Flüchtlingseigenschaft und der Wegweisung Bundesrecht nicht verletzt, den rechtserheblichen Sachverhalt richtig und vollständig feststellt und angemessen ist (Art. 106 AsylG). Die Beschwerde ist somit - soweit sie durch die Verfügung des BFM vom 15. April 2011 (Vollzug der Wegweisung) nicht gegenstandslos geworden ist - abzuweisen.</w:t>
      </w:r>
    </w:p>
    <w:p>
      <w:r>
        <w:rPr>
          <w:b/>
        </w:rPr>
        <w:t>E. 9.1</w:t>
      </w:r>
    </w:p>
    <w:p>
      <w:r>
        <w:t>Mit Zwischenverfügung vom 25. April 2007 wurde das Gesuch der Beschwerdeführerin um Gewährung der unentgeltlichen Rechtspflege gemäss Art. 65 Abs. 1 VwVG unter Vorbehalt einer nachträglichen Veränderung ihrer finanziellen Verhältnisse gutgeheissen. Nachdem sich aufgrund der Akten ergibt, dass die Beschwerdeführerin auch im heutigen Zeitpunkt über ein bescheidenes Einkommen verfügt und seit (Datum) zusätzlich für den Unterhalt eines Kindes aufzukommen hat, wird auf die Erhebung von Verfahrenskosten verzichtet (vgl. Art. 65 Abs. 1 VwVG).</w:t>
      </w:r>
    </w:p>
    <w:p>
      <w:r>
        <w:rPr>
          <w:b/>
        </w:rPr>
        <w:t>E. 9.2</w:t>
      </w:r>
    </w:p>
    <w:p>
      <w:r>
        <w:t>Nachdem die Beschwerdeführerin teilweise mit ihrer Beschwerde durchgedrungen ist, ist ihr für die ihr erwachsenen notwendigen und verhältnismässig hohen Kosten eine um die Hälfte reduzierte Parteientschädigung zuzusprechen (vgl. Art. 64 Abs. 1 VwVG i.V.m. Art. 37 VGG und Art. 7. Abs. 2 VGKE). Gemäss Kostennote vom 21. Februar 2011 werden für das Rechtsmittelverfahren der Caritas Schweiz Aufwendungen von insgesamt Fr. 1'998.-- (12 Stunden à Fr. 162.-- und Auslagen von Fr. 54.--) geltend gemacht. Dieser erscheint indessen im Vergleich zu anderen ähnlich gelagerten Fällen als zu hoch. Unter Berücksichtigung der Eingaben des heutigen Rechtsvertreters vom 28. April 2011 und vom 29. August 2011, für welche zwar keine Kostennote eingereicht wurde, deren Aufwand das Gericht aber zuverlässig abschätzen kann, wird von einem Gesamtaufwand von insgesamt 10 Stunden ausgegangen, womit sich die Gesamtkosten auf Fr. 1'728.- (inklusive Spesen und MWSt des Rechtsanwalts) belaufen. Das BFM wird daher angewiesen, der Beschwerdeführerin eine um die Hälfte zu kürzende Parteientschädigung von Fr. 864.-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