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E-2190/2007 vom 24. Oktober 2012</w:t>
      </w:r>
    </w:p>
    <w:p>
      <w:r>
        <w:t>Bundesverwaltungsgericht, 2012-10-24, FR</w:t>
      </w:r>
    </w:p>
    <w:p>
      <w:r>
        <w:rPr>
          <w:b/>
        </w:rPr>
        <w:t xml:space="preserve">Quelle: </w:t>
      </w:r>
      <w:r>
        <w:t>https://mcp.opencaselaw.ch/entscheid/bvger_E-2190_2007</w:t>
      </w:r>
    </w:p>
    <w:p>
      <w:r>
        <w:t>FR: TAF E-2190/2007 du 24 octobre 2012</w:t>
      </w:r>
    </w:p>
    <w:p>
      <w:r>
        <w:t>IT: TAF E-2190/2007 del 24 ottobre 2012</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3.1</w:t>
      </w:r>
    </w:p>
    <w:p>
      <w:r>
        <w:t>En l'occurrence, le recourant n'a pas rendu vraisemblable qu'il aurait été actif pour le D._______. D'une part, il a déclaré ne pas avoir été membre de ce parti, tout au plus, aurait-il été sympathisant. ll n'aurait été en contact qu'avec une seule personne, un "camarade à Istanbul qui aurait fait partie du D._______" (pv de son audition fédérale p. 6) qui lui aurait envoyé des revues. A C._______, il aurait connu deux personnes engagées pour la cause et avec qui il aurait "déployé des activités de propagande auprès de camarades proches pour les initier au parti" (pv de son audition fédérale p. 8). Toutefois, ces deux camarades n'auraient plus été actifs suite à leur détention des mois de mars et avril 2006. Au contraire, le recourant, sorti de prison, aurait commencé à placarder des affiches sur la recommandation de son "camarade" d'Istanbul, puis aurait agi de son propre gré, fabriquant ses affiches lui-même. Il aurait décidé seul de se rendre dans le quartier de E._______ afin de les apposer sur les fenêtres du bureau du muhtar. Par conséquent, il n'apparaît pas que le recourant ait agi sur ordre du D._______, mais plutôt qu'il ait mené ses activités de façon indépendante, tout au plus en consultant, à ses débuts, son "camarade" d'Istanbul. En effet, il ressort de ses déclarations qu'il a confectionné lui-même ses affiches, de sa propre initiative, et qu'il a décidé seul de l'endroit où il les a placardées, sans avoir été contacté au préalable par le D._______. D'autre part, le recourant a déposé un jugement et un mandat d'arrêt daté du (...) condamnant le fait qu'il ait placardé des affiches du D._______ dans le quartier de E._______ et, notamment, sur la fenêtre du muhtar, le 10 août 2006. L'analyse des documents effectuée par l'ODM a révélé que ces documents étaient falsifiés. Invité à se prononcer sur les résultats de cette analyse lors de l'audition fédérale du 15 février 2007, le recourant n'a fourni aucune explication convaincante. A ce sujet et en l'absence d'éléments déterminants, le Tribunal renvoie aux considérants détaillés de la décision attaquée. Le recourant n'a enfin pas rendu vraisemblable la détention dont il aurait fait l'objet en mars/avril 2006. Il n'a produit aucun document l'attestant, alors qu'il ferait l'objet d'un jugement le condamnant à un mois et dix-huit jours de prison (cf. pv de son audition fédérale p. 7). En outre, il n'a produit aucun document attestant de sa mise en détention et de sa libération.</w:t>
      </w:r>
    </w:p>
    <w:p>
      <w:r>
        <w:rPr>
          <w:b/>
        </w:rPr>
        <w:t>E. 3.2</w:t>
      </w:r>
    </w:p>
    <w:p>
      <w:r>
        <w:t>Il ressort de ce qui précède que les motifs exposés par le recourant ne répondent pas aux exigences de vraisemblance fixées par l'art. 7 LAsi.</w:t>
      </w:r>
    </w:p>
    <w:p>
      <w:r>
        <w:rPr>
          <w:b/>
        </w:rPr>
        <w:t>E. 3.3</w:t>
      </w:r>
    </w:p>
    <w:p>
      <w:r>
        <w:t>Le recourant a également affirmé craindre d'être rejeté par sa communauté villageoise, puisqu'une infirmière aurait informé les habitants de son infection VIH. Au stade du recours, il a ajouté qu'il serait également discriminé à cause de ses penchants bisexuels. Ces éléments ne sont néanmoins pas déterminants, puisqu'il n'est pas établi que les discriminations atteindraient l'intensité requise pour admettre que le recourant serait soumis à une pression psychique insupportable au sens de l'art. 3 LAsi. Ainsi, il ne peut être admis qu'il serait victime, en Turquie, d'une persécution collective du seul fait de ses pratiques sexuelles et de sa maladie. Les allégations ayant trait aux discriminations dont il ferait l'objet dans son village ne sont pas pertinentes pour l'octroi de l'asile, au sens de l'art. 3 LAsi.</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6.3.2</w:t>
      </w:r>
    </w:p>
    <w:p>
      <w:r>
        <w:t>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(CourEDH), compte tenu de l'importance fondamentale de l'art. 3 CEDH, s'est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un aperçu de la jurisprudence de la CourEDH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6.3.3</w:t>
      </w:r>
    </w:p>
    <w:p>
      <w:r>
        <w:t>En l'occurrence, le recourant souffre d'une infection par le VIH. Grâce à la trithérapie qui lui est administrée depuis le mois de juillet 2004, il présente aujourd'hui une virémie indétectable et un taux de lymphocytes CD4 le mettant hors d'atteinte des complications les plus graves du Sida. De plus, il n'a pas atteint la phase terminale de sa maladie. Dès lors, l'exécution du renvoi du recourant n'a pas pour conséquence de l'exposer à un risque réel de mort. Il bénéficie par ailleurs d'un réseau familial et de possibilités de traitement en Turquie (cf. consid. 7.3 infra) et ne se trouve donc pas dans une situation comparable à celle à la base de l'arrêt D. c. Royaume-Uni du 2 mai 1997 précité. Faute de circonstances tout à fait extraordinaires (au sens de la jurisprudence en la matière) commandant impérativement la poursuite de son séjour sur le territoire helvétique pour des motifs médicaux, il ne saurait donc se prévaloir de l'illicéité de l'exécution de son renvoi.</w:t>
      </w:r>
    </w:p>
    <w:p>
      <w:r>
        <w:rPr>
          <w:b/>
        </w:rPr>
        <w:t>E. 6.4</w:t>
      </w:r>
    </w:p>
    <w:p>
      <w:r>
        <w:t>Dès lors, l'exécution du renvoi du recourant sous forme de refoulement ne transgresse aucun engagement de la Suisse relevant du droit international, de sorte qu'elle s'avère licite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se rapporte en second lieu aux personnes pour qui un retour reviendrait à les mettre concrètement en danger, notamment parce qu'elles ne pourraient plus recevoir les soins dont elles ont besoin ou qu'elles seraient, selon toute probabilité, conduites à devoir vivre durablement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Le Tribunal examine ci-après si l'exécution du renvoi du recourant pourrait s'avérer inexigible en raisons de circonstances personnelles.</w:t>
      </w:r>
    </w:p>
    <w:p>
      <w:r>
        <w:rPr>
          <w:b/>
        </w:rPr>
        <w:t>E. 7.3.1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et jurisp. cit., JICRA 1993 n° 38 p. 274s.). Ce qui compte ce sont,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7.3.2</w:t>
      </w:r>
    </w:p>
    <w:p>
      <w:r>
        <w:t>Selon la jurisprudence du Tribunal, l'exécution du renvoi d'une personne infectée par le VIH est en principe raisonnablement exigible tant que la maladie n'a pas atteint le stade C (selon la classification CDC), respectivement tant que le SIDA n'est pas déclaré. L'examen de la question ne dépend toutefois pas seulement du stade de la maladie (stades A à C), mais également de la situation concrète de la personne concernée dans son pays d'origine, en particulier ses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particulièrement favorables (cf. ATAF 2009/2 consid. 9.3.4.p. 22 ; JICRA 2004 n° 7 consid. 5d p. 50ss).</w:t>
      </w:r>
    </w:p>
    <w:p>
      <w:r>
        <w:rPr>
          <w:b/>
        </w:rPr>
        <w:t>E. 7.3.3</w:t>
      </w:r>
    </w:p>
    <w:p>
      <w:r>
        <w:t>En l'occurrence, le recourant souffre d'une infection par le VIH. Au mois de juillet 2004, il a présenté une immunodépression sévère et un traitement antirétroviral composé de Truvada et de Stocrin a été instauré. A son retour en Turquie, en septembre 2004, le recourant a poursuivit son traitement, désormais composé de Combivir et de Crixivan. Lorsqu'il est revenu en Suisse, en décembre 2006, le traitement précité a été poursuivi jusqu'en juin 2007, puis il a été simplifié pour Trizivir. Pour cause d'effet secondaire, la trithérapie a été modifiée, en avril 2011, pour Kivexa et Isentress. Depuis lors, grâce au traitement entrepris, la situation a évolué favorablement, puisque le médecin traitant a relevé, dans son rapport du 16 mai 2012, une excellente observance aux traitements, de sorte que la virémie VIH demeure indétectable depuis plusieurs années. Grâce au traitement antirétroviral, l'infection VIH est stabilisée, ce qui reflète une bonne efficacité du traitement et met le recourant hors d'atteinte des complications les plus graves du sida. Selon le rapport susmentionné, son état de santé requiert une trithérapie quotidienne à vie et un suivi médical. Pour autant qu'il soit correctement soigné, le pronostic est bon. En revanche, un arrêt ou une prise irrégulière du traitement antirétroviral entraînerait la destruction progressive au système immunitaire et le développement de résistances au virus, ainsi que l'apparition de maladies opportunistes, qui peuvent être fatales. Le recourant souffre également de céphalées, traitées actuellement par Séroquel et Citalopram, et qui sont probablement en lien avec le syndrome dépressif chronique dont il est atteint.</w:t>
      </w:r>
    </w:p>
    <w:p>
      <w:r>
        <w:rPr>
          <w:b/>
        </w:rPr>
        <w:t>E. 7.3.4</w:t>
      </w:r>
    </w:p>
    <w:p>
      <w:r>
        <w:t>La Turquie finance, avec l'Allemagne, la Belgique, l'Estonie, la France, le Portugal et la Roumanie, le projet Hivera (Harmonizing Integrating Vitalizing European Research on Aids/VIH), coordonné par l'Agence nationale de recherches sur le sida et les hépatites virales (ANRS) et soutenu par la Commission européenne. Un premier appel à projets transnationaux pour la recherche européenne sur le VIH/sida a été lancé en été 2011 (Claire Criton, Projet VIHera, SidaSciences, 19 juillet 2011). Ainsi, la Turquie s'investit pleinement en cofinançant des recherches dans ce domaine et en ayant une voix décisionnelle pour l'approbation de projets transnationaux. La Turquie possède un faible taux de personnes infectées (&lt; 0.2 % en 2009) ; environ 4'000 personnes vivent avec le VIH et un quart d'entre elles sont sous traitement antirétroviral. Le suivi du traitement peut présenter certaines difficultés, dû au faible nombre des personnes traitées, sans pour autant constituer de graves violations des droits de l'homme (UNAIDS, Turkey, Country Situation 2009). La Turquie a instauré, en 1996, une "commission nationale SIDA", dont les membres se réunissent deux fois par an et collaborent avec des organisations gouvernementales et non-gouvernementales, avec les professionnels oeuvrant dans ce domaine médical et avec les agents des Nations-Unies. Cette commission suit les activités du "plan d'action stratégique national", développé pour les années 2007 à 2011. Le pays a également mis sur pied un "programme national SIDA", dont les participants se rencontrent chaque mois, sous l'égide du ministère de la santé. L'Etat turc requiert l'aide de partenaires, notamment, en ce qui concerne le support technique et les possibilités d'antirétroviraux génériques pour traiter chaque patient (UNAIDS, Turquie, Country progress reports, 2010).</w:t>
      </w:r>
    </w:p>
    <w:p>
      <w:r>
        <w:rPr>
          <w:b/>
        </w:rPr>
        <w:t>E. 7.3.5</w:t>
      </w:r>
    </w:p>
    <w:p>
      <w:r>
        <w:t>Le recourant a été suivi en Turquie de septembre 2004 à décembre 2006 et est arrivé en Suisse avec un état de santé stable. En effet, selon le rapport médical du 12 mars 2007, il s'est vu prescrire en Turquie du Combivir et du Crixivan, traitement qui a été poursuivi en Suisse, combiné avec de l'Atarax, jusqu'en juin 2007. Ensuite, le traitement a été modifié pour Trizivir, pour une question de simplification uniquement (cf. rapport médical du 16 mai 2012). Ainsi, force est de constater que le recourant a bénéficié d'un accès gratuit à un traitement antirétroviral adéquat et suffisant en Turquie. Les éventuelles brèves interruptions du traitement dont se plaint le recourant ne suffisent pas, à elles seules, à péjorer de façon certaine et notable son état de santé. Ainsi, le recourant peut être traité en Turquie, où il a d'ailleurs déjà obtenu son traitement antirétroviral entre septembre 2004 et décembre 2006, soit durant plus de deux ans, sans que son état se soit dégradé, puisque le même traitement a été poursuivi durant le semestre qui a suivi son arrivée en Suisse, avant d'être simplifié. En outre, les céphalées chroniques et l'état dépressif chronique ne sont pas à ce point grave pour être de nature à mettre sa vie ou sa santé concrètement et gravement en danger à brève échéance, en cas de retour en Turquie. Le Tribunal n'ignore pas que les prestations fournies en Turquie ne sont pas du niveau de celles offertes en Suisse, en particulier en ce qui concerne les possibilités de prise en charge psychiatrique. Toutefois, des soins essentiels pour les états dépressifs peuvent être assurés en Turquie qui possède des structures suffisantes pour répondre aux besoins du recourant. Dans ces conditions, force est de constater que le recourant ne nécessite pas impérativement des traitements médicaux ne pouvant être suivis qu'en Suisse, sous peine d'entraîner de manière certaine et à brève échéance une mise en danger concrète et sérieuse de sa vie ou de son intégrité physique. Son état de santé ne saurait donc constituer un motif suffisant pour surseoir à l'exécution de son renvoi en vertu de la jurisprudence en la matière, même si les possibilités de traitements du VIH existant en Turquie n'atteignent pas les standards élevés que l'on trouve en Suisse.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Le recourant n'apparaissant pas indigent, puisqu'il a déclaré ne pas dépendre de l'assistance publique et subvenir seul à ses besoins, la demande d'assistance judiciaire partielle est rejetée (art. 65 al. 1 PA).</w:t>
      </w:r>
    </w:p>
    <w:p>
      <w:r>
        <w:rPr>
          <w:b/>
        </w:rPr>
        <w:t>E. 10.2</w:t>
      </w:r>
    </w:p>
    <w:p>
      <w:r>
        <w:t>Au vu de l'issue de la cause, il y a lieu de mettre les frais de procédure, d'un montant de 600 francs, à la charge du recourant (art. 63 al. 1 PA et 2 et 3 let. b du règlement du 21 février 2008 concernant les frais, dépens et indemnités fixés par le Tribunal administratif fédéral [FITAF, RS 173.320.2]).</w:t>
      </w:r>
    </w:p>
    <w:p>
      <w:r>
        <w:rPr>
          <w:b/>
        </w:rPr>
        <w:t>E. 10.3</w:t>
      </w:r>
    </w:p>
    <w:p>
      <w:r>
        <w:t>Au vu de ce qui précède, il n'y a pas lieu d'allouer de dépens au recourant (art. 7 al. 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