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E-2187/2010 vom 11. Mai 2010</w:t>
      </w:r>
    </w:p>
    <w:p>
      <w:r>
        <w:t>Bundesverwaltungsgericht, 2010-05-11, DE</w:t>
      </w:r>
    </w:p>
    <w:p>
      <w:r>
        <w:rPr>
          <w:b/>
        </w:rPr>
        <w:t xml:space="preserve">Quelle: </w:t>
      </w:r>
      <w:r>
        <w:t>https://mcp.opencaselaw.ch/entscheid/bvger_E-2187_2010</w:t>
      </w:r>
    </w:p>
    <w:p>
      <w:r>
        <w:t>FR: TAF E-2187/2010 du 11 mai 2010</w:t>
      </w:r>
    </w:p>
    <w:p>
      <w:r>
        <w:t>IT: TAF E-2187/2010 del 11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15. März 2010 bei der Botschaft in Colombo und am 6. April 2010 beim Bundesverwaltungsgericht eingegangene Beschwerde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nachdem die srilankische Regierung und die LTTE im Jahre 2002 einen Waffenstillstand geschlossen hätten, sei es im Sommer 2006 zu einem Wiederaufflammen des innerstaatlichen bewaffneten Konflikts gekommen. Unter den Kampfhandlungen im Norden und Osten Sri Lankas hätte insbesondere die Zivilbevölkerung gelitten. Die Lage sei dadurch verschärft worden, dass die LTTE im Frühjahr 2004 in zwei Fraktionen auseinandergefallen sei, die sich in der Folge bekämpft hätten. Die im Osten Sri Lankas aktive Fraktion, die TMVP, habe dort um ihre Vorherrschaft gerungen, wobei ihr zur Durchsetzung ihres Machtanspruches jedes Mittel recht gewesen sei. Den damit verbundenen Kämpfen seien insbesondere in den Jahren 2005 bis 2008 zahlreiche Menschen zum Opfer gefallen. Heute stelle sich die Situation indes anders dar. Der Krieg zwischen der srilankischen Regierung und der separatistischen LTTE sei im Mai 2009 mit der Niederlage der LTTE zu Ende gegangen. Damit befinde sich das gesamte Land erstmals seit 1983 wieder unter Regierungskontrolle. Die Sicherheits- und Menschrechtslage sei zwar noch nicht befriedigend und präsentiere sich regional unterschiedlich. Während die Situation im Norden des Landes noch recht undurchsichtig sei, habe sich die Lage in der Herkunftsregion des Beschwerdeführers im Osten stark beruhigt. Insbesondere sei die Anzahl von Gewaltereignissen sowie Entführungen und Killings erheblich zurückgegangen. Zudem habe sich die TMVP als politische Partei etabliert und agiere nicht mehr als militante Gruppierung. Angesichts dieser veränderten Lage erscheine das Risiko, dass der Beschwerdeführer in Z._____asylrelevanten Übergriffen ausgesetzt sei, ausgesprochen gering. Dieser Schluss werde dadurch bestätigt, dass er seit bald einem Jahr keine Probleme mehr mit der C._____ gehabt habe. Was sodann das Vorgehen des CID anbelange, sei der Beschwerdeführer am (...) 2009 festgenommen und während 24 Stunden befragt worden. Der Beschwerdeführer gehe davon aus, dass die Behörden ein Verfolgungsinteresse an ihm hätten, weil er dem B._____ inskünftig sensible und regierungskritische Informationen weiterleiten könnte. Diese Annahme sei jedoch unbegründet, da er seit 2007 nicht mehr beim B._____ angestellt sei und seither nicht mehr mit dieser (...) in Kontakt stehe. Sodann sei der Beschwerdeführer bereits nach zwei Tagen, am (...) 2009, vom CID aus der Haft entlassen worden. Es sei davon auszugehen, dass seitens der Behörden kein weiteres Verfolgungsinteresse an seiner Person bestehe. Diese Schlussfolgerung werde dadurch belegt, dass der Beschwerdeführer seit der Freilassung keine Probleme mehr mit dem CID gehabt habe. Gemäss ständiger Praxis der schweizerischen Asylbehörden könne die Einreise in die Schweiz nur bewilligt werden, wenn mit überwiegender Wahrscheinlichkeit von einer akuten Gefährdung bei einem Verbleib im Heimatland ausgegangen werden müsse. Der Beschwerdeführer sei indes nicht derart gefährdet, dass er auf den Schutz der Schweiz angewiesen sei. An dieser Feststellung würden auch die eingereichten Dokumente nichts zu ändern vermögen, würden sie doch lediglich die Vorbringen des Beschwerdeführers stützen, deren Glaubhaftigkeit vorliegend nicht in Frage gestellt werde.</w:t>
      </w:r>
    </w:p>
    <w:p>
      <w:r>
        <w:rPr>
          <w:b/>
        </w:rPr>
        <w:t>E. 5.2</w:t>
      </w:r>
    </w:p>
    <w:p>
      <w:r>
        <w:t>In der Rechtsmitteleingabe führt der Beschwerdeführer aus, während seiner Arbeit für den B._____ habe er seine Vorgesetzten in seinen Berichten über die täglichen Ereignisse in der Gegend, namentlich auch die Entführung von Zivilisten durch die Regierung und die Paramilitärs, orientiert. Er werde nun beschuldigt, diese regierungskritischen Informationen veröffentlicht zu habe. Er befürchte deshalb, heute noch entführt oder getötet zu werden.</w:t>
      </w:r>
    </w:p>
    <w:p>
      <w:r>
        <w:rPr>
          <w:b/>
        </w:rPr>
        <w:t>E. 5.3</w:t>
      </w:r>
    </w:p>
    <w:p>
      <w:r>
        <w:t>Wie bereits die Vorinstanz in der angefochtenen Verfügung feststellte, hat sich die Lage in Sri Lanka seit Mai 2009 im allgemeinen und in der Herkunftsregion (Z._____) des Beschwerdeführers im Besonderen - wesentlich beruhigt. Sodann hat sich die C._____ heute als politische Partei etabliert und agiert nicht mehr als militante Gruppe. Vor diesem Hintergrund ist mit dem BFM zu schliessen, dass die geäusserten Befürchtungen des Beschwerdeführers vor weiteren Belästigungen durch die C._____ wenig wahrscheinlich sind. Dieser Schluss trifft umso mehr zu, als der Beschwerdeführer seit rund zweieinhalb Jahren nicht mehr beim B._____ arbeitet und seit knapp einem Jahr offenbar auch nicht mehr von der C._____ angegangen wurde. Betreffend die Festnahme vom (...) 2009 durch den CID ist festzustellen, dass der Beschwerdeführer ohne Weiteres, insbesondere ohne Auflage, nach nur zwei Tagen freigelassen wurde. Bei dieser Sachlage ist davon auszugehen, dass der CID kein ernsthaftes Verfolgungsinteresse an der Person des Beschwerdeführers hat. Sodann macht dieser bis heute keine weiteren Kontaktierungen durch den CID geltend. Überdies ist festzustellen, dass es sich bei der vorerwähnten Inhaftierung bereits von ihrer Intensität her offensichtlich nicht um einen ernsthaften Nachteil im Sinne des Asylgesetzes handeln kann. Schliesslich legt der Beschwerdeführer mit den Ausführungen in der Rechtsmitteleingabe, welche sich im Wesentlichen auf das blosse Wiederholen der aktenkundigen Asylvorbringen beschränken, nicht substanziiert dar, inwiefern das BFM zu Unrecht geschlossen habe, er sei nicht schutzbedürftig im Sinne des Asylgesetzes und ihm sei die Einreise zu Unrecht nicht bewilligt worden.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darzulegen. Damit ist dem Beschwerdeführer ein weiterer Verbleib im Heimatland zumutbar. Das BFM hat demnach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