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E-2185/2011 vom 20. Juli 2011</w:t>
      </w:r>
    </w:p>
    <w:p>
      <w:r>
        <w:t>Bundesverwaltungsgericht, 2011-07-20, DE</w:t>
      </w:r>
    </w:p>
    <w:p>
      <w:r>
        <w:rPr>
          <w:b/>
        </w:rPr>
        <w:t xml:space="preserve">Quelle: </w:t>
      </w:r>
      <w:r>
        <w:t>https://mcp.opencaselaw.ch/entscheid/bvger_E-2185_2011</w:t>
      </w:r>
    </w:p>
    <w:p>
      <w:r>
        <w:t>FR: TAF E-2185/2011 du 20 juillet 2011</w:t>
      </w:r>
    </w:p>
    <w:p>
      <w:r>
        <w:t>IT: TAF E-2185/2011 del 20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angefochtene Verfügung des BFM vom 25. Februar 2011 wurde durch die Schweizerische Botschaft in Colombo am 10. März 2011 versandt. Somit wurde mit der Beschwerdeeingabe vom 31. März 2011 die Frist auf jeden Fall gewahrt. Die Beschwerde ist demnach frist- und formgerecht eingereicht. Der Beschwerdeführer ist durch die angefochtene Verfügung besonders berührt und hat ein schutzwürdiges Interesse an deren Aufhebung beziehungsweise Änderung; er ist daher zur Beschwerde legitimiert (Art. 105 und 108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eingereichtes Asylgesuch ablehnen, wenn die gesuchstellende Person keine Verfolgung glaubhaft macht oder ihr die Aufnahme in einem Drittstaat zugemutet werden kann (vgl.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Abs. 1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 gemäss Art. 20 Abs. 2 AsylG - nur unter der Bedingung erteilt wird, dass der Person nicht zugemutet werden kann, im Wohnsitz- oder Aufenthaltsstaat zu bleiben oder in ein anderes Land auszureisen (vgl. zum Ganzen BVGE 2007/30 E. 2 S. 360 f.).</w:t>
      </w:r>
    </w:p>
    <w:p>
      <w:r>
        <w:rPr>
          <w:b/>
        </w:rPr>
        <w:t>E. 4</w:t>
      </w:r>
    </w:p>
    <w:p>
      <w:r>
        <w:t>Vorab ist festzustellen, ob der Sachverhalt im Sinne von Art. 20 Abs. 2 AsylG als genügend erstellt gelten kann. Im vorliegenden Verfahren hat die Schweizerische Vertretung den Beschwerdeführer sowohl aufgefordert, seine Asylgründe schriftlich festzuhalten, als auch ihn persönlich befragt und ist somit den ihr obliegenden Verfahrenspflichten nachgekommen (Art. 10 Abs. 1 und 2 der Asylverordnung 1 vom 11. August 1999 über Verfahrensfragen [AsylV 1, SR 142.311]). Der Beschwerdeführer hat zahlreiche Beweismittel (vgl. E. 5.2.1) eingereicht, und aufgrund der Akten erweist sich die Glaubhaftigkeit seiner Vorbringen als einschätzbar. Somit ist der rechtserhebliche Sachverhalt als hinlänglich erstellt zu erachten.</w:t>
      </w:r>
    </w:p>
    <w:p>
      <w:r>
        <w:rPr>
          <w:b/>
        </w:rPr>
        <w:t>E. 5.1</w:t>
      </w:r>
    </w:p>
    <w:p>
      <w:r>
        <w:t>Im Folgenden ist zu prüfen, ob der Beschwerdeführer in seinem Heimatland einer aktuellen Gefährdung im Sinne von Art. 3 AsylG ausgesetzt ist.</w:t>
      </w:r>
    </w:p>
    <w:p>
      <w:r>
        <w:rPr>
          <w:b/>
        </w:rPr>
        <w:t>E. 5.2.1</w:t>
      </w:r>
    </w:p>
    <w:p>
      <w:r>
        <w:t>Der Beschwerdeführer unterstützte seine Vorbringen mit folgenden Dokumenten: Die geltend gemachten, durch den CID veranlassten Inhaftierungen belegte er mit zwei englischsprachigen "Detention Attestations" des Internationalen Komitees vom Roten Kreuz (IKRK) vom (...) und (...) 2009, die seine Inhaftierung vom (...) 2009 bis zum (...) 2009 und die Inhaftierung seiner Frau vom (...) 2009 bis zum (...) 2009 in Colombo bestätigen. Hinsichtlich des gegen ihn anberaumten und zwischenzeitlich abgeschlossenen Gerichtsverfahrens legte er erstens eine Kopie der Verfügung des "Magristrate`s Court Colombo" vom (...) 2009 vor, die den Grund seiner Inhaftierung ("Aiding und Abetting LTTE Terrorist Activities") beinhaltet und seine Freilassung auf Kaution vom (...) 2009 bestätigt. Als zweites reichte er ein vom (...) 2010 datiertes Gerichtsdokument des Magistrate Court in Colombo, inklusive Übersetzung ins Englische, zu den Akten. Weiter legte er ein englischsprachiges Schreiben eines Notariatsbüros in Colombo vom (...) 2010 vor, das das hängige Verfahren vor dem "Magistrate`s Court" und den anberaumten Gerichtstermin vom (...) 2010 bestätigt. Hinsichtlich seiner Tätigkeit als [Beruf] reichte er eine Bestätigung seiner [beruflichen] Tätigkeit in B._______ und in C.______ sowie ebenso eine Bestätigung hinsichtlich der Tätigkeit seiner Frau als [Beruf] ein. Des Weiteren reichte er sein an das UNHCR gerichtetes Schreiben vom (...) 2010, womit er Anzeige gegen die Behelligungen vom (...) 2010 (siehe C.) erstattete, zu den Akten. Das BFM stellte die Glaubhaftigkeit der Asylvorbringen nicht in Frage. So führte es in seiner Verfügung aus, dass es den mehrmonatigen Gefängnisaufenthalt als glaubhaft erachtet, und zog auch die Authentizität der vorgelegten Beweismittel nicht in Zweifel. Auch die Schweizerische Botschaft erwähnte in ihrem an das BFM adressierten Begleitschreiben vom 3. Juni 2010 ausdrücklich, die langjährige Mitgliedschaft des Beschwerdeführers bei den LTTE sei glaubwürdig (vgl. BFM-Akten A7). In seiner Beweiswürdigung beschränkt das BFM sich sodann auf die Erwägung, die vom Beschwerdeführer eingereichten Dokumente würden "lediglich seine Vorbringen stützen". Da das BFM selbst im Wesentlichen die Vorbringen des Beschwerdeführers als glaubhaft qualifiziert hat, ist diesen Ausführungen mithin keine Beanstandung der Echtheit der Beweismittel zu entnehmen. Das Bundesverwaltungsgericht sieht ebenso keine Indizien, welche Anlass geben könnten, an der Authentizität der Beweismittel zu zweifeln. Das Bundesverwaltungsgericht würdigt die Asylvorbringen des Beschwerdeführers ebenfalls als glaubhaft gemacht. So sind seine Aussagen widerspruchsfrei, substanziiert und ausserordentlich realitätsnah ausgefallen und durch Beweismittel - wie oben erwähnt - genügend untermauert worden.</w:t>
      </w:r>
    </w:p>
    <w:p>
      <w:r>
        <w:rPr>
          <w:b/>
        </w:rPr>
        <w:t>E. 5.2.2</w:t>
      </w:r>
    </w:p>
    <w:p>
      <w:r>
        <w:t>Hinsichtlich der Frage der asylrelevanten Gefährdung des Beschwerdeführers und seiner Familie im Heimatland vertritt die Vorinstanz die Auffassung, dass aufgrund des mehrmonatigen Gefängnisaufenthalts zwar die Befürchtungen des Beschwerdeführers vor erneuten Übergriffen gut nachvollziehbar seien, jedoch seine Furcht vor einer zukünftigen Verfolgung bei objektiver Betrachtungsweise als nicht begründet einzustufen sei. Es sei zwar nicht auszuschliessen, dass er nach seiner Haftentlassung auf Kaution während des laufenden Gerichtsverfahrens weiterhin unter Beobachtung der sri-lankischen Behörden gestanden sei und Angehörige der Sicherheitskräfte nach wie vor Nachforschungen über ihn angestellt und Druck auf ihn ausgeübt hätten. Derartigen Massnahmen, die im Zusammenhang mit der Bekämpfung des Terrorismus der LTTE stünden, komme indessen aufgrund der fehlenden Intensität kein Verfolgungscharakter zu. Da er zudem vom "Magistrate's Court Colombo " freigesprochen worden sei, bestünden keine Anhaltspunkte für zukünftige staatliche Verfolgungsmassnahmen. Grundsätzlich mache er Übergriffe von Dritten geltend; zwar sei nicht auszuschliessen, dass einzelne Angehörige der sri-lankischen Sicherheitskräfte die Bevölkerung mit Drohungen und Erpressungsversuchen unter Druck setzen würden, dennoch bestünde für ihn grundsätzlich die Möglichkeit, sich an die sri-lankischen Behörden zu wenden, da sich aus den Akten keine Hinweise auf eine grundsätzliche Schutzunwilligkeit des sri-lankischen Staates ergäbe. Der Beschwerdeführer hielt diesen Erwägungen in seiner Beschwerde entgegen, dass er und seine Familie abermals hätten flüchten müssen und dass die Annahme des BFM falsch sei; sie seien nach wie vor einer konstanten Gefährdung ausgesetzt.</w:t>
      </w:r>
    </w:p>
    <w:p>
      <w:r>
        <w:rPr>
          <w:b/>
        </w:rPr>
        <w:t>E. 5.2.3</w:t>
      </w:r>
    </w:p>
    <w:p>
      <w:r>
        <w:t>Die von der Vorinstanz angeführte Argumentation, eine zukünftige Verfolgung durch die sri-lankischen Behörden sei ausgeschlossen, da der Beschwerdeführer vom Vorwurf der illegalen Datenweitergabe an internationale Medien freigesprochen worden war, greift zu kurz. Es ist ungeachtet des Freispruchs davon auszugehen, dass die sri-lankischen Behörden über den Beschwerdeführer und seinen Hintergrund (...) Bescheid wissen. Zudem besteht für ihn als ehemaliger LTTE-Anhänger eine erhöhte Gefahr, Verfolgungsmassnahmen ausgesetzt zu sein; diese Personen müssen gemäss übereinstimmender Einschätzung verschiedener Beobachter als entsprechende Risikogruppe betrachtet werden (vgl. UNHCR: Eligibility Guidelines for Assessing the International Protection Needs of Asylum Seekers from Sri Lanka, 5. Juli 2010, S. 5; Human Rights Watch [HRW]: Sri Lanka: Legal Limbo; The Uncertain Fate of Detained LTTE Suspects in Sri Lanka, Februar 2010, S. 6 ff.). Im Weiteren müssen nach Einschätzung des Bundesverwaltungsgerichts unter anderem auch Personen, die Opfer oder Zeuge von während oder nach dem Konflikt begangenen Menschenrechtsverletzungen geworden sind, sowie Personen, die entsprechende Übergriffe bei den Behörden zur Anzeige bringen, Verfolgungsmassnahmen der sri-lankischen Behörden befürchten und riskieren, als unbequeme oppositionelle Stimmen zu gelten. (...). Bei den Akten befindet sich die Kopie eines (...) Zeitungartikels des "Daily Mirror" vom (...) 2010, der einige [Personen] beschreibt, die aufgrund von Rufschädigung gegen den sri-lankischen Staat ("defamatory statements against the Sri Lanka forces over the genocide of Tamil nationals during the humanitarian operations") vor dem "Magristrate's Court Colombo" angeklagt wurden. Die öffentlichen internationalen Berichte bestätigen, und die eingereichten Dokumente unterstützen, die Tatsache, dass LTTE-Anhänger - (...) - einer erhöhten Gefahr ausgesetzt sind, Opfer von Verfolgungsmassnahmen seitens der sri-lankischen Behörden zu werden. Der Beschwerdeführer macht überdies geltend, F._______ gut gekannt zu haben. Diesbezüglich schweigt die Vorinstanz gänzlich. Vor dem Hintergrund der Glaubhaftigkeit der Aussagen des Beschwerdeführers und der eingereichten Beweismittel sieht sich das Bundesverwaltungsgericht nicht veranlasst, diese Aussage als unglaubhaft einzustufen. Die Annahme, dass der Beschwerdeführer F._______ persönlich kannte, unterstreicht sein bereits aufgrund des Gesagten aufgezeigtes Gefährdungsprofil zusätzlich.</w:t>
      </w:r>
    </w:p>
    <w:p>
      <w:r>
        <w:rPr>
          <w:b/>
        </w:rPr>
        <w:t>E. 5.3</w:t>
      </w:r>
    </w:p>
    <w:p>
      <w:r>
        <w:t>Die Vorinstanz stellt sich weiter auf den Standpunkt, dass für den Beschwerdeführer und seine Familie einerseits eine zumutbare Fluchtalternative in Jaffna, wo ein Teil seiner Familie lebe, offen stünde, da keine "grundsätzliche Schutzunwilligkeit des Staates" vorliege. Zudem sei eine Fluchtalternative auch in Colombo gegeben, wo er nie eine Verfolgung geltend gemacht habe. Diese Argumentation ist unzutreffend und kann nicht bestätigt werden. So basiert das Institut der innerstaatlichen Fluchtalternative nicht auf der Abwesenheit allfälliger Verfolgung, sondern auf der Existenz hinlänglichen Schutzes am Ort der Fluchtalternative (vgl. EMARK 2000 Nr. 15 E. 7 S. 112 ff.); die Anforderungen an die Effektivität des gewährten Schutzes sind hoch (vgl. EMARK 1996 Nr. 1). Vor allem aber kann sich, falls - wie im vorliegenden Fall - begründete Furcht vor Behelligungen durch (zentral-)staatliche Behörden besteht, die Frage der innerstaatlichen Fluchtalternative grundsätzlich nicht stellen. Daher erweisen sich weitere Erörterungen im Zusammenhang mit den vorinstanzlichen Zumutbarkeitsüberlegungen als obsolet; es besteht von Vornherein keine Fluchtalternative.</w:t>
      </w:r>
    </w:p>
    <w:p>
      <w:r>
        <w:rPr>
          <w:b/>
        </w:rPr>
        <w:t>E. 5.4</w:t>
      </w:r>
    </w:p>
    <w:p>
      <w:r>
        <w:t>Gesamthaft ist somit davon auszugehen, dass der Beschwerdeführer - auch wenn der Krieg als beendet und die LTTE als besiegt gilt - zu einer Risikogruppe gehört, der weiterhin aus politischen Gründen von staatlichen Behörden ausgehende Verfolgung droht. Angesichts der Inhaftierung und der zahlreichen Behelligungen, die der Beschwerdeführer in der Vergangenheit bereits erlebt hat, ist seine Furcht vor weiterer Verfolgung begründet und objektiv nachvollziehbar.</w:t>
      </w:r>
    </w:p>
    <w:p>
      <w:r>
        <w:rPr>
          <w:b/>
        </w:rPr>
        <w:t>E. 6</w:t>
      </w:r>
    </w:p>
    <w:p>
      <w:r>
        <w:t>Gemäss Art. 53 AsylG wird Flüchtlingen die Asylgewährung verweigert, wenn sie wegen verwerflicher Handlungen des Asyls unwürdig sind oder wenn sie die innere oder äussere Sicherheit der Schweiz verletzt haben oder gefährden. Nach konstanter Praxis werden unter verwerflichen Handlungen nach Art. 53 AsylG diejenigen Delikte verstanden, die als Verbrechen im Sinne des Schweizerischen Strafgesetzbuchs gelten; massgeblich ist die abstrakt beim betreffenden Delikt angedrohte Strafe (vgl. Art. 10 des Schweizerischen Strafgesetzbuchs vom 21. Dezember 1937 [StGB, SR 311.0]). Ist eine Person asylunwürdig im Sinne von Art. 53 AsylG, wird ihr trotz Vorliegens der Flüchtlingseigenschaft kein Asyl gewährt. Im Falle eines Asylgesuches aus dem Ausland wird bei zu bejahender Asylunwürdigkeit das Asylgesuch abgewiesen und die Einreise ist zu verweigern (vgl. Urteil des Bundesverwaltungsgerichts E-8127/2008 vom 12. Mai 2011). Der Beschwerdeführer macht geltend, sich geweigert zu haben, an Kampfhandlungen teilzunehmen. Er hat sich zwar für die LTTE betätigt, jedoch ausschliesslich als [Tätigkeit] gearbeitet; wie oben dargelegt, besteht keine Veranlassung, an der Glaubhaftigkeit seiner Darstellungen zu zweifeln. In [seiner Tätigkeit], unabhängig davon, ob dies für die LTTE geschehen ist, ist keine verwerfliche Tat im Sinne der obenstehenden Erwägungen ersichtlich; dass der Beschwerdeführer je an Aktionen der LTTE beteiligt gewesen wäre, die als verwerfliche Handlungen einzustufen wären, geht aus den Akten nicht hervor. Der Beschwerdeführer ist somit nicht asylunwürdig.</w:t>
      </w:r>
    </w:p>
    <w:p>
      <w:r>
        <w:rPr>
          <w:b/>
        </w:rPr>
        <w:t>E. 7.1</w:t>
      </w:r>
    </w:p>
    <w:p>
      <w:r>
        <w:t>Nach dem Gesagten ist erstellt, dass der Beschwerdeführer und seine Familie in ihrer aktuellen Situation begründete Furcht haben, zukünftigen Nachteilen im Sinne von Art. 3 AsylG ausgesetzt zu sein. Angesichts der dargelegten Gefährdung ist dem Beschwerdeführer der weitere Verbleib in seiner Heimat im Sinne von Art. 20 Abs. 2 AsylG unzumutbar. Nachdem eine Asylunwürdigkeit nicht zu bejahen ist, ist ihm demnach die Einreise in die Schweiz zu bewilligen.</w:t>
      </w:r>
    </w:p>
    <w:p>
      <w:r>
        <w:rPr>
          <w:b/>
        </w:rPr>
        <w:t>E. 7.2</w:t>
      </w:r>
    </w:p>
    <w:p>
      <w:r>
        <w:t>Demzufolge ist die Beschwerde gutzuheissen und die Verfügung des BFM vom 25. Februar 2011 aufzuheben. Zum jetzigen Zeitpunkt erfüllt der Beschwerdeführer die Flüchtlingseigenschaft nicht, da er sich in seinem Heimatstaat befindet (vgl. EMARK 1997 Nr. 15 E. 2.c S. 130). Dem Beschwerdeführer ist zwecks Anerkennung der Flüchtlingseigenschaft die Einreise in die Schweiz zu bewilligen.</w:t>
      </w:r>
    </w:p>
    <w:p>
      <w:r>
        <w:rPr>
          <w:b/>
        </w:rPr>
        <w:t>E. 8</w:t>
      </w:r>
    </w:p>
    <w:p>
      <w:r>
        <w:t>Bei diesem Ausgang des Verfahrens sind keine Kosten aufzuerlegen (Art. 63 Abs. 1 und 2 VwVG).</w:t>
      </w:r>
    </w:p>
    <w:p>
      <w:r>
        <w:rPr>
          <w:b/>
        </w:rPr>
        <w:t>E. 9</w:t>
      </w:r>
    </w:p>
    <w:p>
      <w:r>
        <w:t>Da der Beschwerdeführer im Beschwerdeverfahren nicht anwaltlich vertreten wurde, ist nicht davon auszugehen, ihm seien durch die Beschwerdeführung Kosten erwachsen. Daher ist ihm keine Parteientschädigung zuzusprechen (vgl. Art. 64 Abs. 1 VwVG sowie Art. 7 ff. des Reglements vom 11. Dezember 2006 über die Kosten und Entschädigungen vor dem Bundesverwaltungsgericht [VGKE, SR 173.320.2]).</w:t>
      </w:r>
    </w:p>
    <w:p>
      <w:r>
        <w:rPr>
          <w:b/>
        </w:rPr>
        <w:t>E. 10</w:t>
      </w:r>
    </w:p>
    <w:p>
      <w:r>
        <w:t>Abschliessend gilt es zu bemerken, dass das BFM lediglich das Asylgesuch des Beschwerdeführers behandelt hat. Aus dem ersten schriftlichen Asylgesuch, der mündlichen Anhörung und seinen weiteren Eingaben geht jedoch klar hervor, dass der Beschwerdeführer um Einreisebewilligung und Asylgewährung für sich und seine Frau [Name] und sein Kind [Name] ersuchte; es wurden für diese Personen auch Kopien ihrer Ausweispapiere zu den Akten gereicht. In der Eingabe des Beschwerdeführers vom 9. November 2010 (Eingang bei der Schweizerischen Botschaft, vgl. A9) wird sodann [ein weiteres Kind] des Beschwerdeführers erwähnt. Das Bundesamt ist demnach anzuweisen, die Einreise- und Asylgesuche der Frau und des Kindes (beziehungsweise der Kinder) ohne Verzug an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