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E-2182/2020 vom 17. Dezember 2020</w:t>
      </w:r>
    </w:p>
    <w:p>
      <w:r>
        <w:t>Bundesverwaltungsgericht, 2020-12-17, DE</w:t>
      </w:r>
    </w:p>
    <w:p>
      <w:r>
        <w:rPr>
          <w:b/>
        </w:rPr>
        <w:t xml:space="preserve">Quelle: </w:t>
      </w:r>
      <w:r>
        <w:t>https://mcp.opencaselaw.ch/entscheid/bvger_E-2182_2020</w:t>
      </w:r>
    </w:p>
    <w:p>
      <w:r>
        <w:t>FR: TAF E-2182/2020 du 17 décembre 2020</w:t>
      </w:r>
    </w:p>
    <w:p>
      <w:r>
        <w:t>IT: TAF E-2182/2020 del 17 dicembre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zumindest von seinem wesentlichen Inhalt Kenntnis sowie die Gelegenheit geben, sich dazu zu äussern und Gegenbeweismittel zu bezeichnen (Art. 28 VwVG; vgl. BVGE 2011/37 E. 5.4.1; 2013/23 E. 6.4.1 und 6.4.2, je m.w.H.).</w:t>
      </w:r>
    </w:p>
    <w:p>
      <w:r>
        <w:rPr>
          <w:b/>
        </w:rPr>
        <w:t>E. 5.2</w:t>
      </w:r>
    </w:p>
    <w:p>
      <w:r>
        <w:t>Der Beschwerdeführer rügt, die Vorinstanz habe das Akteneinsichtsrecht und dadurch den Anspruch auf rechtliches Gehör verletzt, indem sie ihm keine Einsicht in die Aktenstücke A6/2, A8/1, A9/2, A19/2, A20/1, A22/5 sowie A32/1 gewährt habe.</w:t>
      </w:r>
    </w:p>
    <w:p>
      <w:r>
        <w:rPr>
          <w:b/>
        </w:rPr>
        <w:t>E. 5.3</w:t>
      </w:r>
    </w:p>
    <w:p>
      <w:r>
        <w:t>In der Zwischenverfügung vom 4. Mai 2020 kam die Instruktionsrichterin zum Schluss, die Vorinstanz habe die Aktenstücke A19/2 und A22/5 (Rekursentscheid der [...] des Kantons J._______ vom [...] und Schreiben des [...] der Stadt I._______ betreffend die [...]) zu Unrecht von der Akteneinsicht ausgenommen. Diesbezüglich liegt eine Verletzung des Akteneinsichtsrechts vor. Für eine Aufhebung der angefochtenen Verfügung besteht indes keine Veranlassung. Mit Zwischenverfügung vom 4. Mai 2020 wurde die Vorinstanz angewiesen, dem Beschwerdeführer die beiden Aktenstücke - unter Berücksichtigung allfälliger Geheimhaltungsinteressen im Sinne von Art. 27 VwVG - zu edieren. Dieser Aufforderung kam die Vorinstanz nach. Darüber hinaus sind die beiden Aktenstücke für das vorliegende Verfahren nicht wesentlich und die Vorinstanz hat sich in der Begründung der angefochtenen Verfügung auch nicht zu Lasten des Beschwerdeführers auf diese abgestützt. Sodann ist davon auszugehen, dass der Beschwerdeführer bereits vor der Offenlegung durch die Vorinstanz Kenntnis vom Inhalt der beiden Aktenstücke hatte, da er diese von der (...) und dem (...) bereits zugestellt erhalten hatte. Vor diesem Hintergrund bestand auch keine Veranlassung, dem Beschwerdeführer Frist zur Einreichung einer Beschwerdeergänzung anzusetzen. Zu den weiteren Aktenstücken (A6/2, A8/1, A9/2, A20/1 sowie A32/19) hielt die Instruktionsrichterin in der genannten Zwischenverfügung fest, die Vorinstanz habe diese zu Recht als intern qualifiziert und nicht ediert. Der Subeventualantrag auf Rückweisung der Sache an die Vorinstanz ist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zunächst zum Schluss, die vom Beschwerdeführer geltend gemachten mehreren Festnahmen seien unglaubhaft. Seine diesbezüglichen Ausführungen hätten keine Konsistenz aufgewiesen und seien allgemein ausgefallen. Er sei nicht in der Lage gewesen, das Datum oder den Monat der Verhaftung im Jahr 2016 sowie der ersten Festnahme im Jahr 2017 anzugeben. Trotz mehrfacher Aufforderung, den Ausgang der Festnahmen und die Tage auf dem Polizeiposten zu beschreiben, seien die Schilderungen oberflächlich geblieben. Er habe nicht wiedergeben können, was für Fragen ihm anlässlich der ersten Festnahme im Jahr 2016 gestellt worden seien. Von der zweiten Verhaftung habe er nicht detailliert berichtet, obwohl mehrmals nachgefragt worden sei. Was die Festnahme im Jahr 2018 betreffe, seien seine diesbezüglichen Aussagen nicht konsistent gewesen. So habe er anlässlich der BzP angegeben, zu Hause mitgenommen worden zu sein, und bei der Anhörung im Parteilokal. Diesen Widerspruch habe er nicht erklären können. Im Weiteren habe er anlässlich der BzP gesagt, die Behörden hätten von ihm verlangt, für sie als Spion tätig zu sein. Im Rahmen der Anhörung habe er dies von sich aus nicht mehr erwähnt. Diese Unstimmigkeit habe er nicht überzeugend aufklären können.</w:t>
      </w:r>
    </w:p>
    <w:p>
      <w:r>
        <w:rPr>
          <w:b/>
        </w:rPr>
        <w:t>E. 7.2</w:t>
      </w:r>
    </w:p>
    <w:p>
      <w:r>
        <w:t>Weiter hält die Vorinstanz fest, die Dienstpflicht sei asylrechtlich auch dann nicht relevant, wenn die Streitkräfte zur Bekämpfung eines innerstaatlichen Notstands eingesetzt würden. Die Tatsache, dass der Beschwerdeführer möglicherweise einer Einheit im Osten der Türkei zugeteilt werde, habe nichts mit der kurdischen Ethnie zu tun, da die Zuteilung auf dem Zufallsprinzip basiere. Ein militärstrafrechtliches Verfahren wegen Nichtleistung des Militärdienstes basiere sodann nicht auf einem asylrechtlich relevanten Motiv und sei deshalb nicht asylrelevant.</w:t>
      </w:r>
    </w:p>
    <w:p>
      <w:r>
        <w:rPr>
          <w:b/>
        </w:rPr>
        <w:t>E. 7.3</w:t>
      </w:r>
    </w:p>
    <w:p>
      <w:r>
        <w:t>Die geltend gemachten Diskriminierungen und Schikanen der kurdischen Bevölkerungsgruppe seien bekannt. Diese würden indes keine solche Intensität aufweisen, dass das Leben in der Türkei unmöglich oder unzumutbar sei. Die allgemeine Situation, mit der sich die kurdische Minderheit konfrontiert sehe, reiche - auch unter Berücksichtigung der sich verschlechternden Menschenrechtslage seit dem Putschversuch im Jahr 2016 - alleine für die Annahme der Flüchtlingseigenschaft nicht aus. Dieses Vorbringen sei asylrechtlich ebenfalls nicht relevant.</w:t>
      </w:r>
    </w:p>
    <w:p>
      <w:r>
        <w:rPr>
          <w:b/>
        </w:rPr>
        <w:t>E. 7.4</w:t>
      </w:r>
    </w:p>
    <w:p>
      <w:r>
        <w:t>Die Tätigkeiten für die HDP würden im Weiteren nicht zur Annahme einer begründeten Furcht vor Verfolgungsmassnahmen im Sinne von Art. 3 AsylG führen. Der Beschwerdeführer habe innerhalb der Partei keine exponierte Position innegehabt, die ihn einer asylrechtlich relevanten Gefährdung aussetzen würde.</w:t>
      </w:r>
    </w:p>
    <w:p>
      <w:r>
        <w:rPr>
          <w:b/>
        </w:rPr>
        <w:t>E. 8</w:t>
      </w:r>
    </w:p>
    <w:p>
      <w:r>
        <w:t>In der Rechtmitteleingabe macht der Beschwerdeführer geltend, die Vorinstanz habe sein Asylgesuch zu Unrecht abgelehnt und dadurch Bundesrecht verletzt. Entgegen der Ansicht der Vorinstanz sei er als Kurde ernsthaften Nachteilen ausgesetzt. Er sei täglich wegen seiner Ethnie schikaniert worden. An die Sicherheitsbehörden könne er sich bei Diskriminierungen nicht wenden. Jene seien nicht willig, die kurdische Minderheit zu schützen. Zu den Verhaftungen sei festzustellen, dass er anlässlich der BzP als Erstes auf diese aufmerksam gemacht habe. Er habe glaubhaft dargelegt, wegen seiner Ethnie und der politischen Tätigkeiten zwischen 2016 und 2018 mehrere Male verhaftet worden zu sein. Unter Berücksichtigung, dass die erste Verhaftung im Zeitpunkt der Anhörung über eineinhalb Jahre zurückgelegen habe, sei nicht erstaunlich, dass er sich nicht an alle Daten erinnern könne. Angesichts der zahlreichen Inhaftierungen sei ihm nicht zuzumuten, sich alle Daten zu merken. Vielmehr zeige dieser Umstand die Willkür der Verhaftungen auf. Seine Ausführungen seien konstant und ausführlich gewesen sowie mit vielen Realkennzeichen versehen. Er habe die Fragen ausführlich und widerspruchsfrei beantwortet. Bei einer Rückkehr in die Türkei habe er aufgrund seines Profils begründete Furcht vor flüchtlingsrechtlich relevanter Verfolgung. Es sei allgemein bekannt und durch verschiedene Quellen belegt, dass Regimegegner in den türkischen Gefängnissen gefoltert würden. Er habe nicht nur den Militärdienst aufgeschoben, sondern an mehreren Demonstrationen teilgenommen. Für den Jugendflügel der HDP betätige er sich aktiv. Die türkische Regierung gehe streng gegen Mitglieder der HDP vor. Schliesslich sei ein (...) (...) der Region, wodurch seine Familie im Rahmen der üblichen Sippenhaft unter Generalverdacht stehe.</w:t>
      </w:r>
    </w:p>
    <w:p>
      <w:r>
        <w:rPr>
          <w:b/>
        </w:rPr>
        <w:t>E. 9.1</w:t>
      </w:r>
    </w:p>
    <w:p>
      <w:r>
        <w:t>Vorab ist festzuhalten, dass der Beschwerdeführer in der Rechtsmitteleingabe betreffend die Dienstpflicht keine Verletzung von Bundesrecht rügt. Es erübrigt sich demnach, näher darauf einzugehen, und es kann auf die zutreffenden Erwägungen in der angefochtenen Verfügung verwiesen werden.</w:t>
      </w:r>
    </w:p>
    <w:p>
      <w:r>
        <w:rPr>
          <w:b/>
        </w:rPr>
        <w:t>E. 9.2</w:t>
      </w:r>
    </w:p>
    <w:p>
      <w:r>
        <w:t>Der Beschwerdeführer gab an, zwischen 2016 und Januar 2018 mehrmals inhaftiert worden zu sein. Die BzP fand am 20. März 2018 und die Anhörung zu den Asylgründen am 21. Oktober 2019 statt. Die Festnahmen lagen mithin anlässlich der beiden Befragungen nicht derart lange zurück, dass vom Beschwerdeführer nicht mehr hätte erwartet werden können, konkretere Aussagen zum Zeitpunkt der Festnahmen zu machen, zumal zwischen den Inhaftierungen im Jahr 2017 und der BzP längstens 15 Monate vergangen sind. Entgegen der Argumentation in der Beschwerde reicht die bloss ungenaue Angabe von Jahreszahlen betreffend einschneidende persönliche Ereignisse zur Glaubhaftmachung nicht aus. Mit den Vorhalten der Vorinstanz zu den Haftbedingungen und den Verhören setzt sich der Beschwerdeführer in der Rechtsmitteleingabe sodann nicht differenziert auseinander. Er hält lediglich fest, seine Schilderungen seien entgegen der vorinstanzlichen Ansicht substantiiert, widerspruchsfrei und glaubhaft ausgefallen. Im Einzelnen zeigt er aber nicht auf, inwiefern seine Ausführungen zu den Festnahmen glaubhaft sein sollen. Wie aus dem Anhörungsprotokoll hervorgeht, war der Beschwerdeführer trotz mehrfacher Nachfrage zu den Inhaftierungen nicht in der Lage, substantiiert zu antworten, sondern beschränkte sich auf vage und ausweichende Angaben, namentlich zum Ablauf der Festnahmen und zu den Haftbedingungen (vgl. SEM-Akte A27/23 F82 ff., F98 f., F111 ff., F214, F134). Dem Beschwerdeführer gelingt es mit seinen Ausführungen in der Rechtsmitteleingabe nicht, den vorinstanzlichen Erwägungen betreffend die Unglaubhaftigkeit der Inhaftierungen etwas Substantielles entgegenzuhalten. Um Wiederholungen zu vermeiden, kann im Übrigen auf die zutreffenden Erwägungen in der angefochtenen Verfügung verwiesen werden.</w:t>
      </w:r>
    </w:p>
    <w:p>
      <w:r>
        <w:rPr>
          <w:b/>
        </w:rPr>
        <w:t>E. 9.3</w:t>
      </w:r>
    </w:p>
    <w:p>
      <w:r>
        <w:t>Weiter macht der Beschwerdeführer geltend, er sei aufgrund seines politischen Profils gefährdet. Anlässlich der Anhörung gab er an, er sei seit 2014 Mitglied des Jugendflügels der HDP. Er habe bei der Organisation von Veranstaltungen mitgeholfen, Flaggen aufgehängt und an Demonstrationen für Sicherheit gesorgt (vgl. SEM-Akte A27/23 F64, F66, F69, F74ff.) Aus seinen Schilderungen geht nicht hervor, dass er sich durch seine Aktivitäten im Vergleich zu anderen Parteimitgliedern in besonderem Masse exponiert oder eine Führungsfunktion innerhalb der Partei innegehabt hätte. Vielmehr weist er ein niedriges politisches Profil auf. Der Beschwerdeführer legt auch nicht dar, inwiefern das eingereichte Formular der HDP eine aktive Mitgliedschaft bei der HDP belegen soll. Was den (...) betrifft, der (...) der Region sei, so hat der Beschwerdeführer während der Befragungen nicht erwähnt, seinetwegen jemals Probleme gehabt zu haben. Wie vorstehend ausgeführt, sind die Inhaftierungen unglaubhaft. Mit der Vorinstanz ist daher davon auszugehen, dass der Beschwerdeführer kein politisches Profil aufweist und insoweit keine begründete Furcht vor asylrelevanter Verfolgung wegen seines politischen Profils vorliegt.</w:t>
      </w:r>
    </w:p>
    <w:p>
      <w:r>
        <w:rPr>
          <w:b/>
        </w:rPr>
        <w:t>E. 9.4</w:t>
      </w:r>
    </w:p>
    <w:p>
      <w:r>
        <w:t>Hinsichtlich der Diskriminierungen aufgrund der kurdischen Ethnie ist entgegen der in der Beschwerde vertretenen Ansicht mit der Vorinstanz einigzugehen, dass die blosse Zugehörigkeit zur kurdischen Ethnie für die Annahme der Flüchtlingseigenschaft nach Art. 3 AsylG nicht ausreicht (vgl. u.a. Urteile des BVGer D-4477/2016 vom 24. April 2018 E. 4.1 und D-7043/2014 vom 11. August 2016 E. 6.3). Im Weiteren ist auf die angefochtene Verfügung zu verweisen.</w:t>
      </w:r>
    </w:p>
    <w:p>
      <w:r>
        <w:rPr>
          <w:b/>
        </w:rPr>
        <w:t>E. 10.1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10.2</w:t>
      </w:r>
    </w:p>
    <w:p>
      <w:r>
        <w:t>Zur Teilnahme des Beschwerdeführers an einer Kundgebung in I._______ betreffend das K._______ hält die Vorinstanz in der angefochtenen Verfügung fest, es sei bekannt, dass die türkischen Sicherheitsdienste auch im Ausland aktiv seien und türkische Oppositionsparteien überwachten. Angesichts der zahlreichen politischen Aktivitäten von türkischen Staatsbürgern im Ausland scheine es jedoch wahrscheinlich, dass die türkischen Sicherheitsdienste ihre Aufmerksamkeit hauptsächlich auf Personen konzentrierten, die Aktivitäten in einem bestimmten Umfang ausübten. Die Art und Weise, in der sich der Betreffende öffentlich exponiere, seine Persönlichkeit, die Form der öffentlichen Auftritte und der Inhalt der öffentlichen Äußerungen seien entscheidend dafür, ob die Person als eine Bedrohung für das türkische Regime angesehen werde. Es müssten konkrete Anhaltspunkte gegeben sein, dass es im Interesse des türkischen Staates liege, die betreffende Person zu identifizieren und als Regimegegner zu registrieren. Exilpolitische Aktivitäten würden daher nur dann als Bedrohung wahrgenommen und bei der Rückkehr sanktioniert, wenn diese mit einer Exponierung im aufgeführten Sinne ausgeübt werden. Die Teilnahme des Beschwerdeführers an der Kundgebung sei deshalb nicht geeignet, eine begründete Furcht vor künftigen Verfolgungsmassnahmen anzunehmen.</w:t>
      </w:r>
    </w:p>
    <w:p>
      <w:r>
        <w:rPr>
          <w:b/>
        </w:rPr>
        <w:t>E. 10.3</w:t>
      </w:r>
    </w:p>
    <w:p>
      <w:r>
        <w:t>In der Rechtsmitteleingabe hält der Beschwerdeführer fest, als Kurde und aktives Mitglied der HDP sei er spätestens mit der illegalen Ausreise in den Fokus der türkischen Behörden geraten.</w:t>
      </w:r>
    </w:p>
    <w:p>
      <w:r>
        <w:rPr>
          <w:b/>
        </w:rPr>
        <w:t>E. 10.4</w:t>
      </w:r>
    </w:p>
    <w:p>
      <w:r>
        <w:t>Wie vorstehend ausgeführt, sind die vom Beschwerdeführer vorgebrachten Inhaftierungen unglaubhaft und weder seine Ethnie noch politischen Aktivitäten entfalten flüchtlingsrechtliche Relevanz. Was die Teilnahme an einer Kundgebung in I._______ betrifft, so hat der Beschwerdeführer nicht geltend gemacht, anlässlich dieser in einer exponierten Funktion anwesend gewesen zu sein. Weitere exilpolitische Tätigkeiten hat er nicht erwähnt. Es ist nicht davon auszugehen, dass die türkischen Behörden wegen der einmaligen Teilnahme des Beschwerdeführers an einer Demonstration in der Schweiz auf ihn aufmerksam geworden sind. Inwiefern die illegale Ausreise vor diesem Hintergrund ein zusätzliches Gefährdungselement schaffen soll, wird in der Beschwerde sodann nicht aufgezeigt. Auch unter Berücksichtigung der aktuellen Lage in der Türkei ist nicht anzunehmen, dass das Profil des Beschwerdeführers für die Behörden von Interesse ist, zumal er gemäss seinen Angaben einerseits die Türkei erst im März 2018 und damit fast zwei Jahre nach dem Putschversuch im Juli 2016 endgültig verlassen habe und andererseits im Jahr 2017 zwischenzeitlich nach H._______ gereist sei.</w:t>
      </w:r>
    </w:p>
    <w:p>
      <w:r>
        <w:rPr>
          <w:b/>
        </w:rPr>
        <w:t>E. 10.5</w:t>
      </w:r>
    </w:p>
    <w:p>
      <w:r>
        <w:t>Insgesamt gelingt es dem Beschwerdeführer mit seinen Ausführungen in der Rechtsmitteleingabe nicht, eine Bundesrechtsverletzung durch die Vorinstanz darzutun. Die Vorinstanz hat zu Recht das Vorliegen der Flüchtlingseigenschaft verneint und das Asylgesuch des Beschwerdeführers abgewiesen.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Niederlassungs- oder Aufenthaltsbewilligung noch über einen selbständigen Anspruch auf Erteilung einer Aufenthaltsbewilligung. Aus den Akten geht hervor, dass er sich in einem hängigen Ehevorbereitungsverfahren befindet. Somit ist vorfrageweise ein Anspruch auf Erteilung einer Aufenthaltsbewilligung gestützt auf Art. 8 EMRK zu prüfen (vgl. ausführlich zu dieser Thematik BVGE 2013/37 E. 4.4, Urteil des BVGer D-1869/2017 vom 6. August 2018 E. 5 m.w.H. sowie BGE 135 I 143). Allerdings hat sich der Beschwerdeführer im Laufe des Verfahrens hierzu nicht geäussert und nicht dargelegt, weshalb er sich auf den Schutzbereich von Art. 8 EMRK berufen können sollte. Die vorfrageweise Prüfung ergibt, dass der Beschwerdeführer zum Urteilszeitpunkt keinen potenziellen Anspruch auf Erteilung einer Aufenthaltsbewilligung hat. Es ist ihm aber unbenommen, bei den kantonalen Behörden um Erteilung einer Kurzaufenthaltsbewilligung zwecks Durchführung des Ehevorbereitungsverfahrens zu ersuchen.</w:t>
      </w:r>
    </w:p>
    <w:p>
      <w:r>
        <w:rPr>
          <w:b/>
        </w:rPr>
        <w:t>E. 11.3</w:t>
      </w:r>
    </w:p>
    <w:p>
      <w:r>
        <w:t>Da der Beschwerdeführer weder über eine ausländerrechtliche Aufenthaltsbewilligung verfügt, noch einen Anspruch auf Erteilung einer solchen hat, wurde die Wegweisung von der Vorinstanz zu Recht angeordnet (Art. 44 AsylG; vgl. BVGE 2013/37 E. 4.4, BVGE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entgegen den Ausführungen in der Rechtsmitteleingabe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Wie vorstehend ausgeführt, vermag der Beschwerdeführer zum Urteilszeitpunkt keinen Anspruch auf Erteilung einer Bewilligung darzutun, der sich aus dem Recht auf Achtung des Privat- und Familienlebens gemäss Art. 8 EMRK oder Art. 13 BV ergeben würde.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D-5119/2018 vom 19. August 2020 E. 7.3.2 und E-3774/2020 vom 20. Oktober 2020 E. 11.3.2).</w:t>
      </w:r>
    </w:p>
    <w:p>
      <w:r>
        <w:rPr>
          <w:b/>
        </w:rPr>
        <w:t>E. 12.4.2</w:t>
      </w:r>
    </w:p>
    <w:p>
      <w:r>
        <w:t>Individuelle Gründe, die gegen den Vollzug der Wegweisung sprechen, liegen nicht vor. Der Beschwerdeführer stammt aus B._______, C._______, Provinz D._______, wohin der Vollzug der Wegweisung grundsätzlich zumutbar ist (vgl. SEM-Akte A7/13 Ziff. 2.01). Der Beschwerdeführer ist jung und gesund (vgl. a.a.O. Ziff. 8.02 und A27/23 F4). Mit seinen Eltern, seinen Geschwistern sowie mehreren Tanten und Onkel verfügt er über ein umfangreiches familiäres Beziehungsnetz (vgl. SEM-Akte A27/23 F22, F30 f. und A7/13 Ziff. 3.01). Zudem hat er Arbeitserfahrung in unterschiedlichen Tätigkeitsgebieten, namentlich als (...), (...), (...) auf (...), (...) sowie (...) (vgl. SEM-Akte A27/23 F35 f. und A7/13 Ziff. 1.17.05). Vor diesem Hintergrund ist nicht davon auszugehen, dass der Beschwerdeführer bei einer Rückkehr in die Türkei in eine existentielle Notlage geraten wird. Der Wegweisungsvollzug ist zumutbar.</w:t>
      </w:r>
    </w:p>
    <w:p>
      <w:r>
        <w:rPr>
          <w:b/>
        </w:rPr>
        <w:t>E. 12.5</w:t>
      </w:r>
    </w:p>
    <w:p>
      <w:r>
        <w:t>Der Beschwerdeführer hat eine Identitätskarte eingereicht. Es obliegt ihm, sich bei der zuständigen Vertretung des Heimatstaates allenfalls weitere für eine Rückkehr notwendigen Reisedokumente zu beschaffen (vgl. Art. 8 Abs. 4 AsylG und dazu auch BVGE 2008/34 E. 12), weshalb der Vollzug der Wegweisung auch als möglich zu bezeichnen ist (Art. 83 Abs. 2 AIG).</w:t>
      </w:r>
    </w:p>
    <w:p>
      <w:r>
        <w:rPr>
          <w:b/>
        </w:rPr>
        <w:t>E. 12.6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der Türkei angepasst wird (vgl. Entscheidungen und Mitteilungen der Schweizerischen Asylrekurskommission [EMARK] 1995 Nr. 14 E. 8d und e sowie das Urteil des BVGer D-4796/2019 vom 27. April 2020 E. 8.9 m.w.H.).</w:t>
      </w:r>
    </w:p>
    <w:p>
      <w:r>
        <w:rPr>
          <w:b/>
        </w:rPr>
        <w:t>E. 12.7</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grundsätzlich dem Beschwerdeführer aufzuerlegen (Art. 63 Abs. 1 VwVG). Da ihm indes mit Zwischenverfügung vom 4. Mai 2020 die unentgeltliche Prozessführung gewährt wurde, sind keine Verfahrenskosten zu erheben (Art. 1-3 des Reglements vom 21. Februar 2008 über die Kosten und Entschädigungen vor dem Bundesverwaltungsgericht [VGKE, SR 173.320.2]).</w:t>
      </w:r>
    </w:p>
    <w:p>
      <w:r>
        <w:rPr>
          <w:b/>
        </w:rPr>
        <w:t>E. 14.2</w:t>
      </w:r>
    </w:p>
    <w:p>
      <w:r>
        <w:t>Mit Zwischenverfügung vom 5. Juni 2020 hat die Instruktionsrichterin Rechtsanwältin Lea Hungerbühler als amtliche Rechtsvertreterin des Beschwerdeführers eingesetzt. Mit der Beschwerde hat sie eine Honorarnote eingereicht. In dieser weist sie eigene Aufwendungen von 3.75 Stunden zu einem Stundenansatz von Fr. 220.- sowie Aufwendungen einer Praktikantin von 8 Stunden zu einem Stundenansatz von Fr. 110.- aus. Im Weiteren führt sie Auslagen im Betrag von Fr. 16.30 an. Angesichts des Umfangs der Beschwerde (13 Seiten) erscheint ein Total von 11.75 Stunden überhöht. Der zeitliche Aufwand der amtlichen Rechtsvertreterin ist deshalb unter Einberechnung einer weiteren Stunde für die Stellungnahme vom 8. Mai 2020 auf drei Stunden und jener der Praktikantin auf fünf Stunden zu kürzen. Demnach ist der amtlich eingesetzten Rechtsvertreterin ausgehend von drei Stunden zu einem Stundenansatz von Fr. 220.- (vgl. bereits genannte Zwischenverfügung), fünf Stunden zu einem Stundenansatz von Fr. 110.- (gemäss Praxis des BVGer, siehe auch BGE 137 III 185 E. 6) und Auslagen im Betrag von Fr. 16.30 eine Entschädigung von Fr. 1'226.30 auszurichten (inkl. Auslagen und ohne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