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E-2177/2017 vom 2. Juni 2017</w:t>
      </w:r>
    </w:p>
    <w:p>
      <w:r>
        <w:t>Bundesverwaltungsgericht, 2017-06-02, DE</w:t>
      </w:r>
    </w:p>
    <w:p>
      <w:r>
        <w:rPr>
          <w:b/>
        </w:rPr>
        <w:t xml:space="preserve">Quelle: </w:t>
      </w:r>
      <w:r>
        <w:t>https://mcp.opencaselaw.ch/entscheid/bvger_E-2177_2017</w:t>
      </w:r>
    </w:p>
    <w:p>
      <w:r>
        <w:t>FR: TAF E-2177/2017 du 2 juin 2017</w:t>
      </w:r>
    </w:p>
    <w:p>
      <w:r>
        <w:t>IT: TAF E-2177/2017 del 2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wird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Bundesverwaltungsgericht teilt die Feststellung der Vorinstanz, die Vorbringen des Beschwerdeführers vermöchten den Anforderungen an die Glaubhaftigkeit nicht zu genügen. Vorab und zur Vermeidung von Wiederholungen kann vollumfänglich auf die zutreffenden Erwägungen in der angefochtenen Verfügung verwiesen werden. Auch die Ausführungen in der Beschwerde sind offensichtlich nicht geeignet, um zu einer anderen Beurteilung zu gelangen.</w:t>
      </w:r>
    </w:p>
    <w:p>
      <w:r>
        <w:rPr>
          <w:b/>
        </w:rPr>
        <w:t>E. 4.2</w:t>
      </w:r>
    </w:p>
    <w:p>
      <w:r>
        <w:t>Entgegen der Ansicht des Beschwerdeführers hat sich das SEM sehr wohl mit der aktuellen und tatsächlichen Situation im Irak auseinandergesetzt, weshalb er zu Unrecht moniert, das SEM habe seine Begründungspflicht verletzt. Aus dem von ihm erwähnten Bericht des UNHCR vom 14. November 2016 kann er nichts zu seinen Gunsten ableiten (vgl. nachfolgende E. 4.3). Auch darin, dass das SEM keine umfassende Überprüfung des auf Beschwerdestufe nachgereichten Haftbefehls auf seine Echtheit vorgenommen habe, ist noch keine Verletzung der Begründungspflicht zu erblicken.</w:t>
      </w:r>
    </w:p>
    <w:p>
      <w:r>
        <w:rPr>
          <w:b/>
        </w:rPr>
        <w:t>E. 4.3</w:t>
      </w:r>
    </w:p>
    <w:p>
      <w:r>
        <w:t>Es ist festzuhalten, dass eine allfällige Befragung des Beschwerdeführers als Verdachtsperson wegen des vorgefundenen Sprengstoffs in seinem Fahrzeug eine legitime staatliche Massnahme darstellen würde und deshalb asylrechtlich nicht relevant wäre. Der Beschwerdeführer wäre bei einer allfälligen Befragung ohne weiteres als unbescholtener kurdischer Gymnasiast mit einem Alibi - gemäss seinen Aussagen hat er an diesem Tag gearbeitet - erkennbar gewesen und sein Hinweis auf den UNHCR-Bericht vom 14. November 2016 ist schon deshalb untauglich, weil sich die dortigen Ausführungen ausdrücklich auf sunnitische Araber und Turkmenen bezieht, der Beschwerdeführer aber kurdischer Ethnie ist, aus der ARK stammt und stets dort gelebt hat.</w:t>
      </w:r>
    </w:p>
    <w:p>
      <w:r>
        <w:rPr>
          <w:b/>
        </w:rPr>
        <w:t>E. 4.4</w:t>
      </w:r>
    </w:p>
    <w:p>
      <w:r>
        <w:t>In Bezug auf das eingereichte Dokument samt Übersetzung ist festzustellen, dass der Haftbefehl offenbar auf denselben Tag datiert wie das geschilderte Ereignis, was bereits erste Zweifel an der Echtheit des Dokuments aufkommen lässt. Weitere Zweifel ergeben sich daraus, dass das Dokument aus D._______ stammen soll, aber ausschliesslich auf Arabisch und nicht auch auf Kurdisch verfasst wurde. Zudem fällt auf, dass die auf dem Schriftstück vermerkte englische Bezeichnung "JUDLCAL Councll" offensichtliche Rechtschreibefehler enthält. Beim angeblichen Haftbefehl handelt es sich ferner um ein behördeninternes Dokument, das dem Beschwerdeführer ohnehin nicht zugänglich wäre. Im Übrigen fällt auf, dass der Beschwerdeführer bei der BzP und der Anhörung als letzten Wohnort im Heimatstaat das Dorf F._______ angab, während im eingereichten Dokument ein Dorf namens G._______ als Wohnort vermerkt ist. Weiter ist festzustellen, dass der Beschwerdeführer seine Angabe, sein (...) habe den Haftbefehl am (...) 2015 erhalten, als er freigelassen worden sei, und nicht daran gedacht, dass dieses Dokument für das Verfahren in der Schweiz wichtig sein könnte, weshalb der Beschwerdeführer ihn erst vor kurzer Zeit erhalten und die Übersetzung organisiert habe, nicht glaubhaft darlegen kann. Dies zumal er den behaupteten späten Erhalt des auf den (...) 2015 datierenden angeblichen Haftbefehls nicht mit einem Original-Zustell-Couvert belegt und die Begründung, weshalb er den Haftbefehl nicht schon viel früher eingereicht hat, insbesondere mit Blick auf die rasche Ausreise innerhalb einer Woche und angesichts des regen Kontakts zur Familie, äussert lapidar erscheint. Angesichts dieser Sachlage ist das eingereichte Dokument mangels Beweiswerts nicht geeignet, eine behördliche Suche nach dem Beschwerdeführer darzutun.</w:t>
      </w:r>
    </w:p>
    <w:p>
      <w:r>
        <w:rPr>
          <w:b/>
        </w:rPr>
        <w:t>E. 4.5</w:t>
      </w:r>
    </w:p>
    <w:p>
      <w:r>
        <w:t>Insgesamt gelingt es dem Beschwerdeführer offensichtlich nicht, die Flüchtlingseigenschaft nachzuweisen oder zumindest glaubhaft zu machen, weshalb das Staatssekretariat das Asylgesuch zu Recht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Eine allfällige Befragung durch die staatlichen Behörden erscheint - nachdem das Fahrzeug des Beschwerdeführers in eine mutmassliche Terrorangelegenheit verwickelt war - legitim und vermag keine Asylrelevanz aufzuweisen.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des Beschwerdeführers beziehungsweise in dessen Herkunftsregion ARK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In der nordirakischen ARK herrscht keine Situation allgemeiner Gewalt (vgl. Referenzurteil des Bundesverwaltungsgerichts E-3737/2015 vom 14. Dezember 2015 E. 7 und die bestätigenden Urteile D-7590/2016 vom 19. Januar 2017), wobei auf die weiteren Ausführungen in der angefochtenen Verfügung verwiesen werden kann. Es sprechen auch keine individuellen Gründe gegen die Zumutbarkeit des Wegweisungsvollzugs, zumal der Beschwerdeführer seit seiner Geburt in der Provinz C._______ lebt und dort über ein tragfähiges verwandtschaftliches Beziehungsnetz verfügt, das ihm bei seiner Reintegration behilflich sein wird. Seine Familie ist unter anderem in der (...) tätig und finanziell gut gestellt, weshalb ihm eine Rückkehr auch in wirtschaftlicher Hinsicht zugemutet werden kann. Beim Beschwerdeführer handelt es sich zudem um einen jungen, gut ausgebildeten und soweit aktenkundig gesunden Mann ohne familiäre Verpflichtungen, womit nicht davon auszugehen ist, er gerate bei seiner Rückkehr aus individuellen Gründen wirtschaftlicher, sozialer oder gesundheitlicher Natur in eine existenzbedrohende Situation.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6.7</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Mit vorliegendem Urteil wird der Antrag auf Verzicht auf die Erhebung eines Verfahrenskostenvorschusses gegenstandslos. Die Anträge auf Gewährung der unentgeltlichen Prozessführung im Sinne von Art. 65 Abs. 1 VwVG und Beiordnung eines amtlichen Rechtsbeistands im Sinne von Art. 110a Abs. 1 AsylG sind abzuweisen, weil die Begehren sich als aussichtlos erwiesen haben. Daran ändert der Umstand, dass eine Vernehmlassung zum eingereichten Beweismittel eingeholt worden ist nichts, zumal diese ergeben hat, dass sich der Haftbefehl mit überwiegender Wahrscheinlichkeit als gefälscht erweist. Damit ist eine der kumulativen Voraussetzungen von Art. 65 Abs. 1 VwVG nicht erfüllt. Nach dem Gesagten hat der Beschwerdeführer die Verfahrenskosten, die auf Fr. 750.- festzusetzen sind, zu tragen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