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E-2172/2015 vom 13. Mai 2015</w:t>
      </w:r>
    </w:p>
    <w:p>
      <w:r>
        <w:t>Bundesverwaltungsgericht, 2015-05-13, DE</w:t>
      </w:r>
    </w:p>
    <w:p>
      <w:r>
        <w:rPr>
          <w:b/>
        </w:rPr>
        <w:t xml:space="preserve">Quelle: </w:t>
      </w:r>
      <w:r>
        <w:t>https://mcp.opencaselaw.ch/entscheid/bvger_E-2172_2015</w:t>
      </w:r>
    </w:p>
    <w:p>
      <w:r>
        <w:t>FR: TAF E-2172/2015 du 13 mai 2015</w:t>
      </w:r>
    </w:p>
    <w:p>
      <w:r>
        <w:t>IT: TAF E-2172/2015 del 13 maggio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Das Bundesverwaltungsgericht verzichtet auf die Durchführung eines Schriftenwechsels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dass ein Teil der Vorbringen des Beschwerdeführers den Anforderungen an das Glaubhaftmachen gemäss Art. 7 AsylG nicht standhielten, sodass deren Asylrelevanz nicht geprüft werden müsse. Betreffend einen anderen Teil der Vorbringen stellt sie fest, diese würden den Anforderungen an die Flüchtlingseigenschaft im Sinne von Art. 3 AsylG nicht genügen. So fehle es bereits am Kausalzusammenhang und an der zeitlichen Verknüpfung in Bezug auf die angeblichen Probleme im Zusammenhang mit der JVP. Was die FSP und die hiermit geltend gemachten Demonstrationen in der Schweiz anbelange, so seien gemäss Abklärungen Mitglieder sowohl der FSP als auch der JVP in Sri Lanka nicht verfolgt. Es gelinge dem Beschwerdeführer nicht, mit seinen pauschalen und nicht belegten Behauptungen diesem Schluss etwas entgegenzusetzen. Was die geltend gemachte Verfolgung durch die sri-lankische Polizei anbelange, so sei diese nicht zuletzt auch deshalb unglaubhaft, weil der Beschwerdeführer versucht habe, diese mittels offensichtlich gefälschter Beweismittel zu belegen. Sodann seien die geltend gemachte Rückkehr aus England nach Sri Lanka und das Dokumentarfilmprojekt unglaubhaft. Dies, weil Beweismittel sowohl zur Rückkehr als auch zum Filmprojekt fehlen würden und es sonderbar sei, dass gerade der Reisepass, der die Aus- und Einreisen belegen könne, von der Polizei angeblich zuhause in Abwesenheit des Beschwerdeführers beschlagnahmt worden sei. Auch seien die zeitlichen Angaben widersprüchlich, insbesondere nicht übereinstimmend mit den Rückreisebelegen seiner Frau und es bestünden Widersprüche im Zusammenhang mit dem Aufenthalt in England. Hinzu komme, dass er dortige Aktivitäten verschwiegen habe, womit er dem SEM wesentliche Aspekte seiner Vergangenheit, trotz expliziter Fragen hiernach, bewusst vorenthalten habe und somit nicht ausgeschlossen werden könne, dass er sich länger als angegeben in England aufgehalten habe.</w:t>
      </w:r>
    </w:p>
    <w:p>
      <w:r>
        <w:rPr>
          <w:b/>
        </w:rPr>
        <w:t>E. 4.2</w:t>
      </w:r>
    </w:p>
    <w:p>
      <w:r>
        <w:t>Der Beschwerdeführer wendet dagegen ein, die im ersten Augenblick verworrensten Geschichten seien oftmals die glaubhaftesten. Es erscheine plausibel, dass der Pass auf die geschilderte Weise abhandengekommen sei. Es sei bizarr, aufgrund einer Internetrecherche - Eintrag des Beschwerdeführers bei einer Firma in England - ein Indiz dafür zu sehen, dass er nicht nach Sri Lanka zurück gereist sei. Hiermit ignoriere die Vorinstanz die Aussagen des Beschwerdeführers, die demgegenüber deutlich plausibler seien. Sodann zweifle die Vorinstanz an der beabsichtigten Produktion des Dokumentarfilms. Man könne zwar dem Beschwerdeführer eine Art naiven journalistischen Zugang vorwerfen, weshalb auch unglücklicherweise die direkten Beweismittel fehlen würden, dies könne ihm aber nicht zur Last gelegt werden. Indes sei es gerade bei einem derart heiklen Projekt äusserst wahrscheinlich, dass es die Aufmerksamkeit des sri-lankischen Regimes auf sich ziehe. Sodann könne nicht von einer Pauschalisierung oder von oberflächlichen Schilderungen gesprochen werden, wie dies die Vorinstanz tue, seien doch die Entführung und die Fahndungen detailliert, präzise und minutiös geschildert worden. Im Übrigen seien Mitglieder der FSP als regierungskritisch und hoch-oppositionell einzustufen. Der Beschwerdeführer gehöre einer der anerkannten Risikogruppen an und die exilpolitischen Tätigkeiten würden Anlass dazu geben, bei einer Rückkehr zu einer asylrelevanten Gefährdung zu führen.</w:t>
      </w:r>
    </w:p>
    <w:p>
      <w:r>
        <w:rPr>
          <w:b/>
        </w:rPr>
        <w:t>E. 4.3</w:t>
      </w:r>
    </w:p>
    <w:p>
      <w:r>
        <w:t>Die Vorinstanz hat in tatsächlicher Hinsicht den Massstab des Glaubhaftmachens nicht verkannt und auf den vorliegenden Fall korrekt angewendet. In der angefochtenen Verfügung wird einlässlich begründet, welche der Vorbringen unglaubhaft und welche offensichtlich nicht von Asylrelevanz sind. Die Beschwerde setzt sich kaum damit auseinander. Zum Hauptvorwurf - gefälschte Dokumente - äussert sie sich mit keinem Wort. Im Wesentlichen wiederholt der Beschwerdeführer seine Vorbringen oder macht allgemeine Ausführungen und erschöpft sich in Vermutungen und appellatorischer Kritik. Damit zeigt er nicht auf, inwiefern die Vorinstanz Bundesrecht verletzt oder den Sachverhalt rechtsfehlerhaft festgestellt haben soll, was auch nicht ersichtlich ist. So trifft zu, dass Vorbringen unglaubhaft sind, die massgeblich auf gefälschte oder verfälschte Beweismittel abgestützt werden (Art. 7 Abs. 3 AsylG). Der Beschwerdeführer hat seine zentralen Asylvorbringen auf gefälschte Beweismittel gestützt, womit sie als unglaubhaft einzustufen sind. Die Abklärungen zu den vom Beschwerdeführer eingereichten und als polizeiliche Vorladungen bezeichneten Dokumenten haben unter anderem ergeben, dass die einschlägige Polizeistation unter der Nummer einen ganz anderen Fall registriert hat. Sodann stimmt die Referenznummer nicht und war der unterzeichnende Polizist zum Zeitpunkt der Ausstellung nicht im Dienst. Zu den Details der Abklärungen vor Ort und zu weiteren Ungereimtheiten im Zusammenhang mit diesen Dokumenten, sei auf die ausführlichen Auflistungen in der vorinstanzlichen Verfügung verwiesen. Aus der Zeit, in der der Beschwerdeführer angeblich aus Europa nach Sri Lanka zurückgekehrt sein will, reicht er - neben den gefälschten - keine anderen Beweismittel ein. Hinzu kommt, dass die Aussagen des Beschwerdeführers - wie von der Vorinstanz richtig erkannt - offensichtlich unglaubhaft sind. So sind seine Kenntnisse und Ausführungen zum Filmprojekt unsubstantiiert, was er selber einräumt, wenn er von einer "Art 'naiven' journalistischen Zugangs" spricht (Beschwerdeschrift S. 7). Die Erwägung der Vorinstanz im Zusammenhang mit der verschwiegenen Arbeit des Beschwerdeführers in England, nämlich der Vermutung, dass der Beschwerdeführer direkt aus London in die Schweiz gekommen sei, ist in diesem Lichte als weiteres Indiz zu werten und nicht, wie es die Beschwerdeschrift nennt, als "bizarr" zu bezeichnen. In der vorinstanzlichen Feststellung, es erscheine sonderbar, dass gerade der Reisepass, der die Rückreise nach Sri Lanka am besten belegen könne, beschlagnahmt worden sei, ist kein chronologischer Fehlschluss zu erkennen. So geht es doch im Kern darum, dass zur geltend gemachten Rückreise - neben den gefälschten Beweismitteln - keine weiteren vorgelegt werden, was die Unglaubhaftigkeit untermauert. Die Beschwerde erschöpft sich in appellatorischer Kritik und zeigt nicht auf, inwiefern der Schluss der Vorinstanz Bundesrecht verletzen soll. Der Beschwerdeführer vermag auch keine subjektiven Nachfluchtgründe glaubhaft zu machen. Die vorgebrachten exilpolitischen Tätigkeiten erreichen offensichtlich kein Ausmass, das zu einer Gefährdung im Heimatstaat zu führen vermöchte. Die Vorinstanz kommt nach vertieften Abklärung zum Schluss, dass die Mitglieder der FSP und der JVP heute nicht verfolgt werden. Um Wiederholungen zu vermeiden, kann auf die Ausführungen der Vorinstanz verwiesen werden. Der Beschwerdeführer hat folglich nichts vorgebracht, was geeignet wäre, die Flüchtlingseigenschaft nachzuweisen oder zumindest glaubhaft zu machen. Die Vorinstanz hat zu Recht die Flüchtlingseigenschaft verneint und das Asylgesuch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6.2</w:t>
      </w:r>
    </w:p>
    <w:p>
      <w:r>
        <w:t>Der Vollzug der Wegweisung ist nach Art. 83 Abs. 3 AuG (SR 142.20)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Der Beschwerdeführer weist kein Profil auf, um zukünftig staatlichen Verfolgungsmassnahmen ausgesetzt zu sein. Es sind keine Anhaltspunkte ersichtlich, gemäss derer der Beschwerdeführer Massnahmen zu befürchten hätte, die - wenn überhaupt - über einen sogenannten background check (Befragung und Überprüfung von Tätigkeiten im In- und Ausland) hinausgehen oder ihm persönlich im Falle einer Rückkehr eine Gefährdung drohen könnte. Solches lässt sich auch nicht annehmen, nachdem seine Vorbringen - wie gesehen - insgesamt und offensichtlich unglaubhaft ausgefallen sind.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Colombo (zur Problematik Vanni-Gebiet und Zumutbarkeit der Wegweisung: BVGE 2011/24 E. 12-13). Seine Herkunft aus Colombo ist belegt. Es kann davon ausgegangen werden, dass er die Möglichkeit hat, sich in seiner Heimat Colombo erneut niederzulassen. Im Übrigen handelt es sich in der Person des Beschwerdeführers um einen gesunden Mann in gutem Arbeitsalter, mit einer Ausbildung zum Schweisser und Arbeitserfahrung in Sri Lanka und in Grossbritannien. Zudem könnte er - gemäss eigenen Angaben - den B._______ seines Schwiegervaters übernehmen. Sodann hat er ein Beziehungsnetz und seine Familie in Sri Lanka. So leben beispielsweise seine Ehefrau, seine Eltern und eine Schwester in Sri Lanka. Der Vollzug der Wegweisung ist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Der Beschwerdeführer beantragt die Gewährung der unentgeltlichen Rechtspflege gemäss Art. 65 Abs. 1 VwVG. Da die Beschwerde sich weitgehend in Wiederholungen früherer Vorbringen erschöpft, war von vornherein klar, dass sie den Erwägungen der angefochtenen Verfügung nichts entgegenzuhalten vermag. Die Begehren gelten deshalb als aussichtslos.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Beschwerdeurteil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