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E-2166/2023 vom 2. Mai 2023</w:t>
      </w:r>
    </w:p>
    <w:p>
      <w:r>
        <w:t>Bundesverwaltungsgericht, 2023-05-02, DE</w:t>
      </w:r>
    </w:p>
    <w:p>
      <w:r>
        <w:rPr>
          <w:b/>
        </w:rPr>
        <w:t xml:space="preserve">Quelle: </w:t>
      </w:r>
      <w:r>
        <w:t>https://mcp.opencaselaw.ch/entscheid/bvger_E-2166_2023</w:t>
      </w:r>
    </w:p>
    <w:p>
      <w:r>
        <w:t>FR: TAF E-2166/2023 du 2 mai 2023</w:t>
      </w:r>
    </w:p>
    <w:p>
      <w:r>
        <w:t>IT: TAF E-2166/2023 del 2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w:t>
      </w:r>
    </w:p>
    <w:p>
      <w:r>
        <w:rPr>
          <w:b/>
        </w:rPr>
        <w:t>E. 1.3</w:t>
      </w:r>
    </w:p>
    <w:p>
      <w:r>
        <w:t>Der Beschwerdeführer ist zur Beschwerdeführung legitimiert (Art. 48 Abs. 1 VwVG).</w:t>
      </w:r>
    </w:p>
    <w:p>
      <w:r>
        <w:rPr>
          <w:b/>
        </w:rPr>
        <w:t>E. 1.4</w:t>
      </w:r>
    </w:p>
    <w:p>
      <w:r>
        <w:t>Hinsichtlich der Fristeinhaltung ist Folgendes festzuhalten: Gemäss Art. 108 Abs. 3 AsylG ist die Beschwerde gegen Nichteintretensentscheide innerhalb von fünf Arbeitstagen seit Eröffnung der Verfügung einzureichen. Schriftliche Eingaben müssen spätestens am letzten Tag der Frist der Behörde eingereicht oder zu deren Handen der schweizerischen Post oder einer schweizerischen diplomatischen oder konsularischen Vertretung übergeben werden (Art. 21 Abs. 1 VwVG). Eingaben können bei der Behörde elektronisch eingereicht werden, wenn sie mit einer qualifizierten elektronischen Signatur des Absenders versehen sind (vgl. Art. 21a Abs. 1 und 2 VwVG). Die angefochtene Verfügung wurde am 12. April 2023 eröffnet. Folglich endete die Beschwerdefrist am 19. April 2023. Die am 18. April 2023 beim SEM per E-Mail eingereichte Eingabe ist nicht mit einer qualifizierten elektronischen Signatur versehen und kann deshalb nicht als fristwahrend betrachtet werden. Der Beschwerdeführer hat indessen auch eine handschriftliche Rechtsmitteleingabe dem SEM persönlich ausgehändigt. Die Eingabe wurde vom SEM mit dem Eingangsstempel vom 20. April 2023 versehen. Auf Nachfrage teilte das SEM dem Bundesverwaltungsgericht mit, dass der Beschwerdeführer die handschriftliche Eingabe in einem Umschlag ohne Adresse und Datumsvermerk am 19. April 2023 an der Loge abgegeben hatte (vgl. Eingangsbestätigung der Securitas, BAZ D._______). Die Eingabe erfolgte damit zwar innerhalb der Beschwerdefrist von fünf Arbeitstagen gemäss Art. 108 Abs. 3 AsylG, wurde aber an eine unzuständige Behörde (SEM) gerichtet. Gemäss Art. 21 Abs. 2 VwVG gilt eine Frist grundsätzlich auch dann als gewahrt, wenn eine Partei vor Ablauf der Frist rechtzeitig an eine unzuständige Behörde gelangt. Als allgemeiner Rechtsgrundsatz genügt nach bundesgerichtlicher Rechtsprechung zur Fristwahrung die Zustellung an jede Behörde von Bund, Kanton oder Gemeinde, unabhängig davon, ob sie im Einzelfall in einer Beziehung zum konkreten Streitfall steht. Vorbehalten bleiben insbesondere rechtsmissbräuchliche Fehladressierungen (vgl. BGE 130 III 515 E. 4; 111 V 406 E. 2; 103 Ia 53 E.1). Aufgrund der Akten ist nicht ersichtlich, dass sich der Beschwerdeführer durch die Eingabe beim SEM vorsätzlich einen unsachgemässen Vorteil verschaffen wollte. Entsprechend gilt die Einreichung der Beschwerde bei der unzuständigen Behörde als fristwahrend. Auf die im Übrigen formgerecht eingereichte Beschwerde ist einzutreten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2017 VI/5 E. 6.2 und 8.2.1). Ein Abgleich der Fingerabdrücke mit der Eurodac-Datenbank ergab, dass der Beschwerdeführer am (...) 2022 in Österreich ein Asylgesuch gestellt hatte. Nachdem die österreichischen Behörden dem Wiederaufnahmegesuch der Vorinstanz mittels eines Standardschreibens implizit zugestimmt haben, ist die grundsätzliche Zuständigkeit Österreichs gegeben. Die Angabe des Beschwerdeführers, er habe dort kein Asylgesuch einreichen wollen, hat auf die Zuständigkeit keinen Einfluss. Die Dublin-III-VO räumt den Schutzsuchenden kein Recht ein, den ihren Antrag prüfenden Staat selber auszuwählen (vgl. BVGE 2010/45 E. 8.3).</w:t>
      </w:r>
    </w:p>
    <w:p>
      <w:r>
        <w:rPr>
          <w:b/>
        </w:rPr>
        <w:t>E. 3.3</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UAbs. 2 und 3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3.5</w:t>
      </w:r>
    </w:p>
    <w:p>
      <w:r>
        <w:t>Die Pflicht eines Mitgliedstaates zur Wiederaufnahme eines Antragstellers nach Art. 18 Abs. 1 Bst. b Dublin-III-VO erlischt, wenn der zuständige Mitgliedstaat nachweisen kann, dass der Antragsteller das Hoheitsgebiet der Mitgliedstaaten für mindestens drei Monate verlassen hat (Art. 19 Abs. 2 Dublin-III-VO).</w:t>
      </w:r>
    </w:p>
    <w:p>
      <w:r>
        <w:rPr>
          <w:b/>
        </w:rPr>
        <w:t>E. 4.1</w:t>
      </w:r>
    </w:p>
    <w:p>
      <w:r>
        <w:t>Indem der Beschwerdeführer vorbringt, er habe Österreich wieder verlassen und mehr als drei Monate in der Türkei verbracht, macht er sinngemäss geltend, die Zuständigkeit Österreichs sei erloschen.</w:t>
      </w:r>
    </w:p>
    <w:p>
      <w:r>
        <w:rPr>
          <w:b/>
        </w:rPr>
        <w:t>E. 4.2</w:t>
      </w:r>
    </w:p>
    <w:p>
      <w:r>
        <w:t>Rechtsprechungsgemäss können sich Asylsuchende in Beschwerdeverfahren gegen Überstellungsentscheidungen auf die richtige Anwendung sämtlicher objektiver Zuständigkeitskriterien der Dublin-III-VO berufen. Dies gilt auch dann, wenn der ersuchte Mitgliedstaat einem Aufnahme- oder Wiederaufnahmeersuchen zugestimmt hat (BVGE 2017 VI/9 E. 5.3.2).</w:t>
      </w:r>
    </w:p>
    <w:p>
      <w:r>
        <w:rPr>
          <w:b/>
        </w:rPr>
        <w:t>E. 4.3</w:t>
      </w:r>
    </w:p>
    <w:p>
      <w:r>
        <w:t>Vorliegend ist deshalb zu prüfen, ob die Zuständigkeit Österreichs erloschen ist beziehungsweise ob das am (...) März 2023 in der Schweiz gestellte Asylgesuch - angesichts des vom Beschwerdeführer behaupteten zwischenzeitlichen Aufenthalts in der Türkei - einen neuen Antrag im Sinne von Art. 20 Abs. 5 UAbs. 3 (i.V.m. UAbs. 2) Dublin-III-VO darstellt.</w:t>
      </w:r>
    </w:p>
    <w:p>
      <w:r>
        <w:rPr>
          <w:b/>
        </w:rPr>
        <w:t>E. 5.1</w:t>
      </w:r>
    </w:p>
    <w:p>
      <w:r>
        <w:t>Das SEM vertrat gegenüber den österreichischen Behörden die Auffassung, dass es die Aussagen des Beschwerdeführers weder für plausibel noch glaubhaft halte. Es sei vielmehr davon auszugehen, dass er sich für drei Monate bei seinen Verwandten in der Schweiz versteckt habe.</w:t>
      </w:r>
    </w:p>
    <w:p>
      <w:r>
        <w:rPr>
          <w:b/>
        </w:rPr>
        <w:t>E. 5.2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5.3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enthalten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 (vgl. Anhang II, Verzeichnis B, Ziff. II.3 der Durchführungsverordnung).</w:t>
      </w:r>
    </w:p>
    <w:p>
      <w:r>
        <w:rPr>
          <w:b/>
        </w:rPr>
        <w:t>E. 5.4</w:t>
      </w:r>
    </w:p>
    <w:p>
      <w:r>
        <w:t>Weder im vorinstanzlichen Verfahren noch auf Beschwerdeebene reichte der Beschwerdeführer Beweismittel im Sinne von Art. 22 Abs. 3 Bst. a/i Dublin-III-VO in Verbindung mit Anhang II, Verzeichnis A der Durchführungsverordnung ein. Seine Vorbringen und die von ihm eingereichten Dokumente (Bustickets, Medikamentenrezepte und Arztzeugnis aus der Türkei) stellen bestenfalls Indizien im Sinne von Art. 22 Abs. 3 Bst. b/i Dublin-III-VO in Verbindung mit Anhang II, Verzeichnis B der Durchführungsverordnung dar, die mit Blick auf die Frage der Plausibilität seiner geltend gemachten Ausreise aus dem Dublin-Raum zu würdigen sind.</w:t>
      </w:r>
    </w:p>
    <w:p>
      <w:r>
        <w:rPr>
          <w:b/>
        </w:rPr>
        <w:t>E. 5.5</w:t>
      </w:r>
    </w:p>
    <w:p>
      <w:r>
        <w:t>Die auf Beschwerdeebene eingereichten Dokumente sind ungeeignet, eine Ausreise aus dem Dublin-Raum beziehungsweise einen mehrmonatigen Aufenthalt ausserhalb des Dublin-Raums glaubhaft zu machen. Die vorgelegten Bustickets vermögen weder zu beweisen, dass er die Reise auch tatsächlich angetreten hat, noch sind sie geeignet, einen dreimonatigen Aufenthalt in der Türkei zu belegen. Dessen ungeachtet erstaunt, dass der Beschwerdeführer zwei Mal von C._______ nach Istanbul gereist sein will (vgl. Busticket vom (...) 2023 und (...) 2023), während nur ein Ticket in die andere Richtung vorliegt (vgl. Busticket vom [...] 2023). Er erklärt weder im vorinstanzlichen Verfahren noch auf Beschwerdeebene, wann genau er Österreich verlassen haben und in die Türkei zurückgekehrt beziehungsweise von Istanbul nach C._______ gereist sein will. Die Medikamentenrezepte vom (...) 2023 beweisen ebenfalls keinen Aufenthalt des Beschwerdeführers in der Türkei zu diesem Zeitpunkt, ist doch nicht auszuschliessen, dass sie in dessen Abwesenheit ausgestellt wurden. Zudem weisen die Dokumente keinerlei fälschungssichere Merkmale auf. Dasselbe gilt für das «Arztzeugnis» vom (...) 2023, das im Übrigen ausgestellt worden wäre, bevor der Beschwerdeführer gemäss seinen Bustickets überhaupt nach C._______ gereist sein will. Selbst wenn man von der Echtheit der eingereichten Dokumente ausginge, würde sich die Anwesenheit des Beschwerdeführers in der Türkei auf einen Zeitraum von 67 Tagen (ältestes Beweismittel: Arztzeugnis vom (...) 2023 und neustes Beweismittel: Busticket vom [...] 2023) beschränken. Vor dem Hintergrund der geltend gemachten von den türkischen Behörden ausgehenden Gefahr (Haftbefehl) erscheint überdies merkwürdig, dass er sich mehrmals in ärztliche Behandlung begeben haben und mit einem Busticket auf seinen Namen mehrmals durch die ganze Türkei gereist sein will. Die Schlussfolgerung der Vorinstanz, er habe sich bei Verwandten in der Schweiz versteckt, scheint vor diesem Hintergrund überzeugend.</w:t>
      </w:r>
    </w:p>
    <w:p>
      <w:r>
        <w:rPr>
          <w:b/>
        </w:rPr>
        <w:t>E. 5.6</w:t>
      </w:r>
    </w:p>
    <w:p>
      <w:r>
        <w:t>Im Übrigen ist davon auszugehen, dass der Beschwerdeführer weitere Dokumente hätte einreichen können, wenn er tatsächlich über einen längeren Zeitraum in der Türkei gelebt hätte. Belege, Urkunden, Korrespondenzen oder anderweitige personalisierte Dokumente, die auf eine längere Anwesenheit des Beschwerdeführers in diesem Land schliessen liessen, fehlen vollständig. Dies erscheint wenig lebensnah. Personen, die mehrere Monate an einem bestimmten Ort leben, gelangen während dieser Zeit naturgemäss in den Besitz verschiedenartiger Belege, die mit ihrer Anwesenheit an diesem Ort in Verbindung gebracht werden können.</w:t>
      </w:r>
    </w:p>
    <w:p>
      <w:r>
        <w:rPr>
          <w:b/>
        </w:rPr>
        <w:t>E. 5.7</w:t>
      </w:r>
    </w:p>
    <w:p>
      <w:r>
        <w:t>Insgesamt ist vor dem Hintergrund der fehlenden Eignung der eingereichten Belege sowie der fehlenden Glaubhaftigkeit der behaupteten Ausreise festzuhalten, dass es dem Beschwerdeführer - auch unter Berücksichtigung des im Rahmen der Dublin-III-VO anzuwendenden reduzierten Beweismasses - augenscheinlich nicht gelungen ist, den behaupteten Aufenthalt ausserhalb des Dublin-Raums für mehr als drei Monate nachzuweisen.</w:t>
      </w:r>
    </w:p>
    <w:p>
      <w:r>
        <w:rPr>
          <w:b/>
        </w:rPr>
        <w:t>E. 5.8</w:t>
      </w:r>
    </w:p>
    <w:p>
      <w:r>
        <w:t>Nach dem Gesagten liegt keine Übertragung der Zuständigkeit auf die Schweiz nach Art. 19 Abs. 2 Dublin-III-VO vor. Das am (...) März 2023 in der Schweiz gestellte Asylgesuch stellt keinen neuen Antrag im Sinne von Art. 20 Abs. 5 UAbs. 3 Dublin-III-VO dar, der ein neues Verfahren zur Bestimmung des zuständigen Mitgliedstaates auslösen würde.</w:t>
      </w:r>
    </w:p>
    <w:p>
      <w:r>
        <w:rPr>
          <w:b/>
        </w:rPr>
        <w:t>E. 6.1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mit sich bringen würden.</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Der Beschwerdeführer hat mit seinen Ausführungen kein konkretes und ernsthaftes Risiko dargetan, die österreichischen Behörden würden sich weigern, ihn wieder aufzunehmen und seinen Antrag auf internationalen Schutz unter Einhaltung der Regeln der Verfahrensrichtlinie zu prüfen. Den Akten sind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Der Beschwerdeführer hat schliesslich nicht aufgezeigt, dass Österreich ihm die ihm gemäss Aufnahmerichtlinie zustehenden minimalen Lebensbedingungen vorenthalten würde. Unter diesen Umständen ist die Anwendung von Art. 3 Abs. 2 Dublin-III-VO nicht gerechtfertigt, wie bereits von der Vorinstanz zutreffend festgehalten.</w:t>
      </w:r>
    </w:p>
    <w:p>
      <w:r>
        <w:rPr>
          <w:b/>
        </w:rPr>
        <w:t>E. 7.1</w:t>
      </w:r>
    </w:p>
    <w:p>
      <w:r>
        <w:t>Der Beschwerdeführer erklärte, er habe in Österreich kein Asylgesuch stellen wollen. Er wolle nicht dorthin zurückkehren, da er dort niemanden habe, die Sprache nicht spreche und ihm dort niemand behilflich sein könne. Hier habe er seine Verwandten, die ihn unterstützen könnten.</w:t>
      </w:r>
    </w:p>
    <w:p>
      <w:r>
        <w:rPr>
          <w:b/>
        </w:rPr>
        <w:t>E. 7.2</w:t>
      </w:r>
    </w:p>
    <w:p>
      <w:r>
        <w:t>Aus dem Umstand, dass sich Onkel und Tanten in der Schweiz befinden, kann der Beschwerdeführer nichts zu seinen Gunsten ableiten. Wie die Vorinstanz in der angefochtenen Verfügung zutreffend feststellt, handelt es sich bei diesen (angeblichen) Verwandten nicht um Familienangehörige im Sinne von Art. 2 Bst. g Dublin-III-VO. Es liegen auch keine Hinweise auf ein besonderes Abhängigkeitsverhältnis vor.</w:t>
      </w:r>
    </w:p>
    <w:p>
      <w:r>
        <w:rPr>
          <w:b/>
        </w:rPr>
        <w:t>E. 7.3</w:t>
      </w:r>
    </w:p>
    <w:p>
      <w:r>
        <w:t>Weiter ist zu prüfen, ob die Vorinstanz trotz der grundsätzlichen Zuständigkeit Österreichs das Selbsteintrittsrecht nach Art. 17 Abs. 1 Dublin-III-VO hätte ausüben müssen.</w:t>
      </w:r>
    </w:p>
    <w:p>
      <w:r>
        <w:rPr>
          <w:b/>
        </w:rPr>
        <w:t>E. 7.3.1</w:t>
      </w:r>
    </w:p>
    <w:p>
      <w:r>
        <w:t>Der Beschwerdeführer macht keine medizinischen Gründe geltend, welche gegen eine Rückweisung nach Österreich sprechen würden. Etwas anderes ist auch den Akten nicht zu entnehmen. Dass er in Österreich niemanden kenne, der ihn unterstützen könne, spricht ebenso wenig gegen eine Überstellung wie die Tatsache, dass er die Sprache in Österreich nicht verstehe. Zum einen wird er auch im österreichischen Asylverfahren eine adäquate Unterstützung erfahren, zum anderen verfügt der Beschwerdeführer ebenso wenig über Kenntnisse der in der Schweiz (E._______) gesprochenen Sprache.</w:t>
      </w:r>
    </w:p>
    <w:p>
      <w:r>
        <w:rPr>
          <w:b/>
        </w:rPr>
        <w:t>E. 7.3.2</w:t>
      </w:r>
    </w:p>
    <w:p>
      <w:r>
        <w:t>Es sind weder völkerrechtliche Vollzugshindernisse, welche die Schweiz zum Selbsteintritt verpflichten würden, noch Rechtsfehler bei der Ermessensbetätigung ersichtlich. Damit besteht kein Grund für eine Anwendung der Ermessensklauseln von Art. 17 Dublin-III-VO (Art. 29a Abs. 3 AsylV 1).</w:t>
      </w:r>
    </w:p>
    <w:p>
      <w:r>
        <w:rPr>
          <w:b/>
        </w:rPr>
        <w:t>E. 8.1</w:t>
      </w:r>
    </w:p>
    <w:p>
      <w:r>
        <w:t>Somit bleibt Österreich der für die Behandlung des Asylgesuchs des Beschwerdeführers zuständige Mitgliedstaat gemäss Dublin-III-VO. Österreich ist verpflichtet, das Asylverfahren gemäss Art. 23, 24, 25 und 29 Dublin-III-VO wiederaufzunehmen.</w:t>
      </w:r>
    </w:p>
    <w:p>
      <w:r>
        <w:rPr>
          <w:b/>
        </w:rPr>
        <w:t>E. 8.2</w:t>
      </w:r>
    </w:p>
    <w:p>
      <w:r>
        <w:t>Das SEM ist demnach zu Recht in Anwendung von Art. 31a Abs. 1 Bst. b AsylG auf das Asylgesuch des Beschwerdeführers nicht eingetreten.</w:t>
      </w:r>
    </w:p>
    <w:p>
      <w:r>
        <w:rPr>
          <w:b/>
        </w:rPr>
        <w:t>E. 8.3</w:t>
      </w:r>
    </w:p>
    <w:p>
      <w:r>
        <w:t>Die Beschwerde ist aus den dargelegten Gründen abzuweisen und die Verfügung der Vorinstanz ist zu bestätigen.</w:t>
      </w:r>
    </w:p>
    <w:p>
      <w:r>
        <w:rPr>
          <w:b/>
        </w:rPr>
        <w:t>E. 9.1</w:t>
      </w:r>
    </w:p>
    <w:p>
      <w:r>
        <w:t>Mit dem vorliegenden Urteil fällt der am 21. April 2023 angeordnete Vollzugsstopp dahin.</w:t>
      </w:r>
    </w:p>
    <w:p>
      <w:r>
        <w:rPr>
          <w:b/>
        </w:rPr>
        <w:t>E. 9.2</w:t>
      </w:r>
    </w:p>
    <w:p>
      <w:r>
        <w:t>Die Verfahrenskosten sind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