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E-2166/2020 vom 30. September 2020</w:t>
      </w:r>
    </w:p>
    <w:p>
      <w:r>
        <w:t>Bundesverwaltungsgericht, 2020-09-30, DE</w:t>
      </w:r>
    </w:p>
    <w:p>
      <w:r>
        <w:rPr>
          <w:b/>
        </w:rPr>
        <w:t xml:space="preserve">Quelle: </w:t>
      </w:r>
      <w:r>
        <w:t>https://mcp.opencaselaw.ch/entscheid/bvger_E-2166_2020</w:t>
      </w:r>
    </w:p>
    <w:p>
      <w:r>
        <w:t>FR: TAF E-2166/2020 du 30 septembre 2020</w:t>
      </w:r>
    </w:p>
    <w:p>
      <w:r>
        <w:t>IT: TAF E-2166/2020 del 30 settembre 2020</w:t>
      </w:r>
    </w:p>
    <w:p>
      <w:pPr>
        <w:pStyle w:val="Heading2"/>
      </w:pPr>
      <w:r>
        <w:t>Regeste</w:t>
      </w:r>
    </w:p>
    <w:p>
      <w:r>
        <w:t>Asyl und Wegweisung (Mehrfachgesuch/Wiedererwägung)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formgerecht eingereichte Beschwerde ist, unter Vorbehalt der nachfolgenden Erwägung, einzutreten (Art. 105 und aArt. 108 Abs. 1 AsylG; Art. 48 Abs. 1 sowie Art. 52 Abs. 1 VwVG).</w:t>
      </w:r>
    </w:p>
    <w:p>
      <w:r>
        <w:rPr>
          <w:b/>
        </w:rPr>
        <w:t>E. 3</w:t>
      </w:r>
    </w:p>
    <w:p>
      <w:r>
        <w:t>Gemäss Art. 55 Abs. 1 VwVG kommt einer Beschwerde von Gesetzes wegen aufschiebende Wirkung zu. Die Vorinstanz hat die aufschiebende Wirkung in der angefochtenen Verfügung nicht entzogen (vgl. Art. 55 Abs. 2 VwVG). Auf den prozessualen Antrag des Beschwerdeführers, der Beschwerde sei die aufschiebende Wirkung zu erteilen, wird mangels Rechtsschutzinteresses nicht eingetreten.</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 Gestützt auf Art. 111a Abs. 1 AsylG wurde auf die Durchführung eines Schriftenwechsels verzichtet.</w:t>
      </w:r>
    </w:p>
    <w:p>
      <w:r>
        <w:rPr>
          <w:b/>
        </w:rPr>
        <w:t>E. 6.1</w:t>
      </w:r>
    </w:p>
    <w:p>
      <w:r>
        <w:t>Der Beschwerdeführer rügt, die Vorinstanz habe den Sachverhalt unvollständig und falsch festgestellt.</w:t>
      </w:r>
    </w:p>
    <w:p>
      <w:r>
        <w:rPr>
          <w:b/>
        </w:rPr>
        <w:t>E. 6.2</w:t>
      </w:r>
    </w:p>
    <w:p>
      <w:r>
        <w:t>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verneint wird, oder weil Beweise falsch gewürdigt worden sind (vgl. Kölz/ Häner/Bertschi, Verwaltungsverfahren und Verwaltungsrechtspflege des Bundes, 3. Aufl. 2013, Rz. 1043). Hinweise für eine unvollständige oder falsche Feststellung des Sachverhalts liegen nicht vor. Die Vorinstanz hat sich mit den Vorbringen und Beweismitteln des Beschwerdeführers auseinandergesetzt und diese gewürdigt. Alleine aus der Tatsache, dass die Vorinstanz aus sachlichen Gründen zu einer anderen Würdigung der Vorbringen gelangt, als vom Beschwerdeführer verlangt, lässt sich keine ungenügende Sachverhaltsfeststellung ableiten. Die Vorinstanz hat den Sachverhalt zutreffend und vollständig festgestellt.</w:t>
      </w:r>
    </w:p>
    <w:p>
      <w:r>
        <w:rPr>
          <w:b/>
        </w:rPr>
        <w:t>E. 6.3</w:t>
      </w:r>
    </w:p>
    <w:p>
      <w:r>
        <w:t>Der Beschwerdeführer macht weiter eine Rechtsverzögerung geltend, da die Vorinstanz erst zwei Jahre nach Einreichung des Gesuchs, ihre Unzuständigkeit bezüglich einzelner Vorbringen festgestellt habe und auf den Revisionsweg verweise.</w:t>
      </w:r>
    </w:p>
    <w:p>
      <w:r>
        <w:rPr>
          <w:b/>
        </w:rPr>
        <w:t>E. 6.3.1</w:t>
      </w:r>
    </w:p>
    <w:p>
      <w:r>
        <w:t>Zunächst ist festzuhalten, dass der Beschwerdeführer bereits am 19. Juli 2017 ein erstes Revisionsverfahren vor dem Bundesverwaltungsgericht anstrengte. Es kann folglich von ihm erwartet werden, dass er Revisionsgründe bei der für deren Behandlung zuständigen Instanz, dem Bundesverwaltungsgericht, und nicht bei der Vorinstanz geltend macht. Rechtsverzögerungsbeschwerden richten sich im Übrigen gegen den Nichterlass einer anfechtbaren Verfügung, um die zuständige Behörden zum Erlass einer Verfügung zu bewegen. Nachdem die Vorinstanz inzwischen (mit Verfügung vom 24. März 2020) über die Begehren des Beschwerdeführers befunden hat, liegt seitens des Beschwerdeführers kein Interesse an der Feststellung einer Rechtsverzögerung mehr vor. Ferner ist im Verhalten der Vorinstanz ohnehin keine Rechtsverzögerung zu erkennen, zumal sich die Verzögerung im Verfahren offensichtlich durch das bereits im November 2018 angestrengte Ehe- und Ehevorbereitungsverfahren des Beschwerdeführers ergab und das SEM diesbezüglich in ständigem Kontakt mit dem zuständigen Migrationsamt stand.</w:t>
      </w:r>
    </w:p>
    <w:p>
      <w:r>
        <w:rPr>
          <w:b/>
        </w:rPr>
        <w:t>E. 6.3.2</w:t>
      </w:r>
    </w:p>
    <w:p>
      <w:r>
        <w:t>Die Vorinstanz ist in der angefochtenen Verfügung auf die Eingabe betreffend die vor dem Urteil des Bundesverwaltungsgerichts vom 23. Mai 2017 datierenden Beweismittel (Beschluss der 2. Strafabteilung des Amtsgerichts C._______ vom 18. Juni 2015 und Annahme der Anordnung eines Haftbefehls vom 16. Juni 2015 durch das Ermittlungsbüro C._______, Haftbefehl der 2. Strafabteilung des Amtsgerichts C._______ vom 18. Juni 2015), mangels Zuständigkeit nicht eingetreten. Gleichzeitig würdigte sie die Dokumente, indem sie dazu festhielt, «vorfrageweise» sei festzustellen, dass es sich bei den eingereichten Dokumenten lediglich um Kopien handle, die keine Fälschungssicherheit vermitteln dürften. Augenscheinlich sei sodann, dass jener Haftbefehl erst nach dem 6. Juni 2015, dem Datum des «Verbrechens» erfolgt sei, der Beschwerdeführer indes in seiner Eingabe eine Suche nach ihm auf Anfang 2015 datiert habe, was widersprüchlich erscheinen dürfte. Das Bundesverwaltungsgericht hat vorliegend einzig zu prüfen, ob die Vorinstanz zu Recht nicht auf diesen Teil des Gesuchs eingetreten ist, was zu bejahen ist. Ob die «vorfrageweise» erfolgte Prüfung des SEM zutrifft, ist nicht Gegenstand des vorliegenden Verfahrens, weshalb auf die in der Beschwerde gemachten Ausführungen dazu vorliegend nicht weiter einzugehen ist.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8.1</w:t>
      </w:r>
    </w:p>
    <w:p>
      <w:r>
        <w:t>Die Vorinstanz führte in der angefochtenen Verfügung weiter aus, der Bruder des Beschwerdeführers habe am 5. Juli 2018 eine Anklage gegen fehlbare Polizisten eingereicht, die auf der Suche nach dem Beschwerdeführer seine Wohnung zerstört hätten. Die Anklage sei abgewiesen worden. Die darin enthaltene Aussage seines Bruders, der Beschwerdeführer werde seit zwei Jahren von der Polizei gesucht (mithin seit Juli 2016), widerspreche seinen (des Beschwerdeführers) Angaben. Da dieses Beweismittel divergierende Daten hinsichtlich des Zeitpunkts der Suche nach dem Beschwerdeführer enthalte, sei es in Zweifel zu ziehen. Die Vorinstanz hat damit das Beweismittel vom 9. Juli 2018 («Staatsanwaltschaft C._______: Einstellungsbeschluss der Ermittlungen») inhaltlich gewürdigt, obwohl sie der Ansicht war, es liege lediglich in Kopie vor. Damit kann offenbleiben, ob es sich wie vom Beschwerdeführer in der Rechtsmitteleingabe behauptet, um ein Original handelt, welches elektronisch unterzeichnet worden sei. Die Erklärung des Beschwerdeführers, die Zeitangabe seines Bruders sei nur eine Schätzung gewesen, vermag indes nicht zu überzeugen, da der Bruder wissen müsste, seit wann bei ihnen zu Hause nach dem Beschwerdeführer gesucht werden soll. Zumindest hatte der Beschwerdeführer anlässlich seiner Anhörung am 8. November 2016 angegeben, bei einer wegen ihm erfolgten Hausdurchsuchung seien seine Mutter und sein Bruder anwesend gewesen (SEM-Akte A14/31 F133 ff.). Da die Suche nach dem Beschwerdeführer inzwischen so lange gedauert haben soll, dass sich sein Bruder schliesslich zu einer Anzeige gezwungen sah, ist es nicht nachvollziehbar, dass der Zeitpunkt nicht genau benannt werden kann. Die Vorinstanz hat demnach zu Recht festgestellt, dass sich aus den weiteren Vorbringen und eingereichten Beweismitteln nur noch weitere Widersprüche zu den ursprünglichen Aussagen des Beschwerdeführers ergeben. Das Gericht schliesst sich den von der Vorinstanz angeführten Zweifeln an und erachtet eine Suche der türkischen Behörden nach dem Beschwerdeführer als nicht glaubhaft. Die Vorinstanz erwog weiter, es erscheine seltsam, dass die türkische Polizei nach dem Beschwerdeführer suchen solle, weil dessen Mutter eine Anzeige eingereicht habe, da sie ihn vermisse, und als Grund der Anzeige «Entführung oder Teilnahme an einer terroristischen Organisation» angegeben habe. Die Anzeige erscheine konstruiert, zumal sie den Beschwerdeführer augenscheinlich belasten solle. Der Beschwerdeführer sei zudem gemäss eigenen Angaben zum Zeitpunkt der Bundesanhörung im November 2016 mit seiner Mutter in Kontakt gestanden. Die Entgegnung des Beschwerdeführers, seine Mutter glaube nicht, dass er sich in der Schweiz aufhalte, ist als blosse Schutzbehauptung zu qualifizieren und nicht überzeugend.</w:t>
      </w:r>
    </w:p>
    <w:p>
      <w:r>
        <w:rPr>
          <w:b/>
        </w:rPr>
        <w:t>E. 8.2</w:t>
      </w:r>
    </w:p>
    <w:p>
      <w:r>
        <w:t>Der Beschwerdeführer bringt in der Rechtsmitteleingabe vor, er habe neulich erfahren, dass die türkische Polizei ihn auch wegen Propaganda für die PKK (Partiya Karkeren Kurdistan) und Beleidigung des Staatspräsidenten suche. Gemäss Auskunft seiner Mutter hätten Polizisten am 17. April 2020 mit Masken, schweren Waffen und einem Rammbock die Tür aufgebrochen und die Wohnung verwüstet, weil er (der Beschwerdeführer) wegen Terrorpropaganda gesucht werde. Der Beschwerdeführer legt in keiner Weise dar, worauf sich diese neuen Befürchtungen beziehungsweise Vorhaltungen seitens der Polizei stützen. Aus den am 27. Juli 2020 bei Gericht eingereichten Dokumenten ergeben sich jedenfalls keine konkreten Hinweise darauf. Gemäss den Angaben des Beschwerdeführers und den eingereichten Übersetzungen handelt es sich dabei um ein Schreiben der Staatsanwaltschaft C._______ vom 13. April 2020, ein Schreiben des Kommunikationsbüros des Ministeriums an die Staatsanwaltschaft in C._______ vom 13. April 2020, ein Schreiben der Staatsanwaltschaft C._______ an das Kommunikationsbüro des Ministeriums vom 29. April 2020, ein Schreiben des Ermittlungsbüros für organisierte Kriminalität der Staatsanwaltschaft C._______ an die Direktion der Abteilung für Terrorbekämpfung vom 1. Juni 2020 und einen Beschluss um Zusammenführung vom 30. Juni 2020. Aus den Dokumenten geht weder hervor, um welche Verfahren es sich konkret handelt beziehungsweise welche Tatbestände verhandelt werden, noch wer daran beteiligt ist. Es ist den Dokumenten kein Bezug zum Beschwerdeführer zu entnehmen. Es wird insbesondere auch nicht dargetan, wie der Beschwerdeführer in Besitz dieser wohl als intern zu bezeichnenden Akten gekommen sein soll. Wie er damit beweisen will, dass er «in der Türkei in Lebensgefahr» sei, erschliesst sich nicht. Ferner zeigt er auch nicht auf, was er mit dem Auszug aus Facebook beweisen will.</w:t>
      </w:r>
    </w:p>
    <w:p>
      <w:r>
        <w:rPr>
          <w:b/>
        </w:rPr>
        <w:t>E. 8.3</w:t>
      </w:r>
    </w:p>
    <w:p>
      <w:r>
        <w:t>Insgesamt lässt sich aus den Vorbringen und den eingereichten Beweismitteln keine Gefährdung des Beschwerdeführers ableiten. Die Vor-instanz hat seine Flüchtlingseigenschaft zu Recht verneint und sein zweites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Es ist zu prüfen, ob das SEM zu Recht davon ausgegangen ist, es bestünden nach wie vor keine Hindernisse für den Vollzug der Wegweisung des Beschwerdeführers in die Türkei.</w:t>
      </w:r>
    </w:p>
    <w:p>
      <w:r>
        <w:rPr>
          <w:b/>
        </w:rPr>
        <w:t>E. 10.2.1</w:t>
      </w:r>
    </w:p>
    <w:p>
      <w:r>
        <w:t>Weder aus den Aussagen des Beschwerdeführers noch aus den Akten ergeben sich Anhaltspunkte, die gegen die Zulässigkeit des Vollzug der Wegweisung im Sinn der asyl- und der völkerrechtlichen Bestimmungen (Art. 5 Asyl, Art. 3 EMRK oder Art. 1 FoK) sprechen würden.</w:t>
      </w:r>
    </w:p>
    <w:p>
      <w:r>
        <w:rPr>
          <w:b/>
        </w:rPr>
        <w:t>E. 10.2.2</w:t>
      </w:r>
    </w:p>
    <w:p>
      <w:r>
        <w:t>Gemäss Art. 83 Abs. 4 AIG kann der Vollzug für Ausländerinnen und Ausländer unzumutbar sein, wenn sie im Heimat- oder Herkunftsstaat aufgrund von Situationen wie Krieg, Bürgerkrieg, allgemeiner Gewalt und medizinischer Notlage konkret gefährdet sind. Gemäss konstanter Praxis ist nicht davon auszugehen, in der Türkei herrsche eine landesweite Situation allgemeiner Gewalt, welche den Vollzug einer Wegweisung als generell unzumutbar erscheinen liesse (vgl. statt vieler zuletzt die Urteile des BVGer D-2892/2020 vom 10. August 2020 E. 10.2, E-3197/2020 vom 5. August 2020 E. 7.3, E-1716/2020 vom 22. April 2020 E.7.4.1). Die in der Beschwerde erwähnte Situation der Verschlechterung der Lage nach dem Militärputsch im Juli 2016 wurde bereits im Urteil E-2744/2017 vom 23. Mai 2017 berücksichtigt. In Bezug auf den Beschwerdeführer hat sich seither keine Änderung ergeben, womit auf die entsprechenden Erwägungen (E. 6.3) verwiesen werden kann. Der Vollzug der Wegweisung erweist sich demnach weiterhin auch in individueller Hinsicht als zumutbar.</w:t>
      </w:r>
    </w:p>
    <w:p>
      <w:r>
        <w:rPr>
          <w:b/>
        </w:rPr>
        <w:t>E. 10.2.3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10.3</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von Fr. 750.- (Art. 1-3 des Reglements vom 21. Februar 2008 über die Kosten und Entschädigungen vor dem Bundesverwaltungsgericht [VGKE], SR 173.320.2) dem Beschwerdeführer aufzuerlegen (Art. 63 Abs. 1 VwVG). Der geleistete Kostenvorschuss in gleicher Höhe wird zu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