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E-2166/2012 vom 25. Mai 2012</w:t>
      </w:r>
    </w:p>
    <w:p>
      <w:r>
        <w:t>Bundesverwaltungsgericht, 2012-05-25, DE</w:t>
      </w:r>
    </w:p>
    <w:p>
      <w:r>
        <w:rPr>
          <w:b/>
        </w:rPr>
        <w:t xml:space="preserve">Quelle: </w:t>
      </w:r>
      <w:r>
        <w:t>https://mcp.opencaselaw.ch/entscheid/bvger_E-2166_2012</w:t>
      </w:r>
    </w:p>
    <w:p>
      <w:r>
        <w:t>FR: TAF E-2166/2012 du 25 mai 2012</w:t>
      </w:r>
    </w:p>
    <w:p>
      <w:r>
        <w:t>IT: TAF E-2166/2012 del 25 maggio 2012</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den Revisionsgrund gemäss Art. 123 Abs. 2 Bst. a BGG geltend und zeigen ausserdem die Rechtzeitigkeit des Revisionsbegehrens auf. Auf das im Übrigen frist- und formgerecht eingereichte Revisionsgesuch ist deshalb einzutreten.</w:t>
      </w:r>
    </w:p>
    <w:p>
      <w:r>
        <w:rPr>
          <w:b/>
        </w:rPr>
        <w:t>E. 3.1</w:t>
      </w:r>
    </w:p>
    <w:p>
      <w:r>
        <w:t>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 Lorenz Kneubühler, Prozessieren vor dem Bundesverwaltungsgericht, Handbücher für die Anwaltspraxis, Band X, Basel 2008, Rz. 5.47, S. 249 f.).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3.2</w:t>
      </w:r>
    </w:p>
    <w:p>
      <w:r>
        <w:t>Die Gesuchstellenden führen zur Begründung ihres Revisionsgesuchs aus, sie seien von ihrem damaligen Rechtsvertreter nicht über die vom Bundesverwaltungsgericht erlassene Zwischenverfügung vom 23. Juli 2010 informiert worden. Deswegen hätten sie von der Aufforderung, ihre gesundheitlichen Beschwerden mittels ärztlicher Berichte zu belegen, nichts gewusst. Durch die Nichtweiterleitung dieser Verfügung habe der damalige Rechtsvertreter seine aus dem Mandat erwachsene Pflicht in grober Weise zum Nachteil der Gesuchstellenden verletzt. Das Mandat hätten sie ihm deshalb im Frühjahr 2011 entzogen. Im angefochtenen Urteil E-2934/2009 habe das Bundesverwaltungsgericht explizit "angenommen, dass es sich bei den gesundheitlichen Problemen der Gesuchstellenden - sofern diese aktuell noch bestehen - um nichts Gravierendes handle". Diese Annahme erweise sich im Lichte der eingereichten Arztzeugnisse als offensichtlich falsch (vgl. Beilage 11), denn dadurch könnten bisher nicht aktenkundige Wegweisungsvollzugshindernisse, die bereits vor dem Erlass des vorliegend angefochtenen Urteils bestanden hätten, belegt werden.</w:t>
      </w:r>
    </w:p>
    <w:p>
      <w:r>
        <w:rPr>
          <w:b/>
        </w:rPr>
        <w:t>E. 4.1</w:t>
      </w:r>
    </w:p>
    <w:p>
      <w:r>
        <w:t>Der revisionsrechtlich eingereichte Arztbericht von D._______, Psychiatrie und Psychotherapie FMH, E._______, betreffend die Gesuchstellenden vom 10. April 2012 bestätigt, dass sie seit Februar 2009 wegen rezidivierenden ängstlich-depressiven Beschwerden im Rahmen von chronischen Posttraumatischen Belastungsstörungen regelmässig in ambulanter psychiatrischer Behandlung sind. Mit dem revisionsrechtlich nachgereichten Bericht wollen die Gesuchstellenden die vorgenannte Annahme des Bundesverwaltungsgerichts im Urteil E-2634/2009 widerlegen. Es stellt sich in diesem Zusammenhang deshalb die Frage, ob sie diesen Arztbericht nicht bereits im Rahmen des ordentlichen Verfahrens hätten beibringen können, zumal sie in dieser Zeitspanne bereits um ihren psychisch labilen Zustand gewusst haben. Die in diesem Zusammenhang vorgebrachte Argumentation der Rechtsvertretung, wonach die Gesuchstellenden unverschuldeterweise keine Kenntnis von der Zwischenverfügung (Aufforderung, Arztzeugnisse einzureichen) gehabt hätten, weil ihr damaliger Rechtsvertreter diese nicht weitergeleitet habe, vermag zwar als solche Aussage zutreffen, indessen nicht dazu zu führen, annehmen zu müssen, sie hätten während des ordentlichen Verfahrens keine Möglichkeit gehabt, ihre gesundheitlichen Beschwerden aktenkundig zu machen. Beauftragen die Gesuchstellenden eine Rechtsvertretung mit der Wahrung ihrer Interessen, und führt diese Person ihren Auftrag unsorgfältig aus, müssen sich die Vertretenen diese Fehler anrechnen lassen, insbesondere wenn sie durch Nachlässigkeit des Rechtsvertreters entstanden sind (vgl. dazu auch Fabia Bochsler in: Maitre/Thalmann, Praxiskommentar VwVG, Waldmann/Weissenberger [Hrsg.], Zürich 2009, N 12 zu Art. 24). Überdies sind sie aufgrund ihrer Mitwirkungspflicht (Art. 13 VwVG und Art. 8 AsylG) gehalten, an der Erstellung des rechtserheblichen Sachverhalts mitzuwirken. Nach der Niederlegung beziehungsweise dem Entzug des Mandats im Frühjahr 2011 hätten die Gesuchstellenden immer noch während gut einem Jahr die Möglichkeit gehabt, ein ärztliches Zeugnis einzureichen - auch ohne Kenntnis der erwähnten Zwischenverfügung. Im Anschluss an dieses Ergebnis können die Fragen, ob dieses Beweismittel geeignet gewesen wäre, einen anderen Ausgang des Verfahrens herbeizuführen, wenn es bereits im ordentlichen Verfahren vorgelegen wäre, oder ob die in Art. 123 Abs. 2 Bst. a BGG erwähnte Rechtzeitigkeit des nach dem revisionsweise angefochtenen Urteil entstandenen Beweismittels gegeben ist, offen bleiben.</w:t>
      </w:r>
    </w:p>
    <w:p>
      <w:r>
        <w:rPr>
          <w:b/>
        </w:rPr>
        <w:t>E. 4.2</w:t>
      </w:r>
    </w:p>
    <w:p>
      <w:r>
        <w:t>Vor dem Hintergrund der vorgenannten Ausführungen ist festzuhalten, dass die Gesuchstellenden bei pflichtgemässer Sorgfalt den ärztlichen Bericht bereits im ordentlichen Verfahren zu den Akten hätten reichen können. Es wurden somit keine revisionsrelevanten Gründe dargetan. Das Gesuch um Revision des Urteils des Bundesverwaltungsgerichts E-2934/2009 vom 28. März 2012 ist demzufolge abzuweisen.</w:t>
      </w:r>
    </w:p>
    <w:p>
      <w:r>
        <w:rPr>
          <w:b/>
        </w:rPr>
        <w:t>E. 5.1</w:t>
      </w:r>
    </w:p>
    <w:p>
      <w:r>
        <w:t>Der Rechtsvertreter der Gesuchstellenden beantragt ferner, im Fall des Nichteintretens oder der Abweisung sei das vorliegende Revisionsgesuch an das Bundesamt für Migration zur Behandlung als qualifiziertes Wiedererwägungsgesuch für alle Gesuchstellenden (E-2934/2009, E-2936/2009 und E-2937/2009) weiterzuleiten. Begründet wird dieser Antrag nicht. Aufgrund des Umstandes, dass das revisionsrechtlich eingereichte ärztliche Zeugnis die gesundheitlichen Beschwerden der Gesuchstellenden betreffen, die bereits vor dem Erlass des Urteils vom 28. März 2012 bestanden haben, und auch keine nach dem Erlass des materiellen Beschwerdeentscheids entstandene und zu berücksichtigende Verschlechterung der Gesundheit der Gesuchstellenden aktenkundig ist, wird auf eine Überweisung des Revisionsgesuchs an das Bundesamt für Migration verzichtet.</w:t>
      </w:r>
    </w:p>
    <w:p>
      <w:r>
        <w:rPr>
          <w:b/>
        </w:rPr>
        <w:t>E. 5.2</w:t>
      </w:r>
    </w:p>
    <w:p>
      <w:r>
        <w:t>Das Gesuch um Erteilung der aufschiebenden Wirkung des Revisionsgesuchs wird mit vorliegendem Endentscheid gegenstandslos.</w:t>
      </w:r>
    </w:p>
    <w:p>
      <w:r>
        <w:rPr>
          <w:b/>
        </w:rPr>
        <w:t>E. 5.3</w:t>
      </w:r>
    </w:p>
    <w:p>
      <w:r>
        <w:t>Das Gesuch um Gewährung der unentgeltlichen Rechtspflege im Sinne von Art. 65 Abs. 1 VwVG wird zufolge Aussichtslosigkeit der Rechtsbegehren abgewiesen.</w:t>
      </w:r>
    </w:p>
    <w:p>
      <w:r>
        <w:rPr>
          <w:b/>
        </w:rPr>
        <w:t>E. 5.4</w:t>
      </w:r>
    </w:p>
    <w:p>
      <w:r>
        <w:t>Das Gesuch um Gewährung der unentgeltlichen Rechtsverbeiständung und Beiordnung des Unterzeichnenden nach Art. 65 Abs. 2 VwVG wird mangels Komplexität und aufgrund des im Verwaltungsverfahrens geltenden Grundsatzes der Untersuchungsmaxime abgewiesen.</w:t>
      </w:r>
    </w:p>
    <w:p>
      <w:r>
        <w:rPr>
          <w:b/>
        </w:rPr>
        <w:t>E. 6</w:t>
      </w:r>
    </w:p>
    <w:p>
      <w:r>
        <w:t>Bei diesem Ausgang des Verfahrens sind - angesichts des geringen Aufwands - die Kosten von Fr. 800.- den Gesuchstellenden aufzuerlegen (Art. 37 VGG i.V. Art. 63 Abs. 1 VwVG i.V.m. Art. 68 Abs. 2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