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E-2157/2011 vom 18. November 2011</w:t>
      </w:r>
    </w:p>
    <w:p>
      <w:r>
        <w:t>Bundesverwaltungsgericht, 2011-11-18, FR</w:t>
      </w:r>
    </w:p>
    <w:p>
      <w:r>
        <w:rPr>
          <w:b/>
        </w:rPr>
        <w:t xml:space="preserve">Quelle: </w:t>
      </w:r>
      <w:r>
        <w:t>https://mcp.opencaselaw.ch/entscheid/bvger_E-2157_2011</w:t>
      </w:r>
    </w:p>
    <w:p>
      <w:r>
        <w:t>FR: TAF E-2157/2011 du 18 novembre 2011</w:t>
      </w:r>
    </w:p>
    <w:p>
      <w:r>
        <w:t>IT: TAF E-2157/2011 del 18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 voit pas de raisons impérieuses de remettre en cause la vraisemblance du récit du recourant. Ce dernier a dépeint les faits de manière cohérente, même s'ils sont parfois peu détaillés ; c'est cependant à juste titre que l'intéressé relève avoir répondu, autant que requis, aux questions posées par l'auditeur. Sauf à raisonner dans l'abstrait et trop schématiquement, comme le fait l'ODM, il n'existe pas non plus de motifs objectifs d'exclure que le recourant se soit marié sans le consentement de la famille de sa femme ; c'est d'ailleurs là l'origine de ses ennuis. Il est aussi vraisemblable que son épouse ait trouvé le moyen de le prévenir du danger qui le menaçait ; en effet, l'urgence de la situation a fort bien pu la déterminer à prendre elle-même ce risque. Enfin, la description qu'a faite l'intéressé de sa fuite n'est pas parfaitement claire et pèche par certains éléments peu crédibles : ainsi, le fait qu'il ait eu le temps d'emporter ses économies, et ait pu échapper sans trop de peine à ses poursuivants. Ces points douteux ne suffisent néanmoins pas à enlever au récit sa vraisemblance ; en effet, force est de constater que les événements traversés par le recourant sont compatibles avec les moeurs prévalant en Somalie et les risques encourus par ceux qui y contreviennent.</w:t>
      </w:r>
    </w:p>
    <w:p>
      <w:r>
        <w:rPr>
          <w:b/>
        </w:rPr>
        <w:t>E. 3.2</w:t>
      </w:r>
    </w:p>
    <w:p>
      <w:r>
        <w:t>Toutefois, les éléments essentiels que constituent l'intensité du risque, respectivement un motif pertinent à la persécution (cf. consid. 2.1 ci-dessus), apparaissent faire défaut en l'espèce.</w:t>
      </w:r>
    </w:p>
    <w:p>
      <w:r>
        <w:rPr>
          <w:b/>
        </w:rPr>
        <w:t>E. 3.2.1</w:t>
      </w:r>
    </w:p>
    <w:p>
      <w:r>
        <w:t>En effet, les organisations claniques continuent certes à structurer toute la société somalienne, y compris au Somaliland, bien que le gouvernement local ait tenté de lutter contre cette emprise (cf. Bericht zur D-A-CH Fact Finding Mission Äthiopien/Somaliland, mai 2010 ; ÖRK-Accord, Clans in Somalia, décembre 2009) ; l'appartenance à un clan déterminé, comme la mesure de la puissance qu'il détient et le degré de protection qu'il peut offrir, contribuent donc de manière décisive à déterminer le statut de la personne, ainsi que les positions sociales et les postes de responsabilité qu'elle peut atteindre. Dès lors, les personnes qui ne sont pas affiliées à un clan déterminé, soit qu'elles ne se connaissent aucune filiation paternelle, soit qu'elles appartiennent à des minorités ethniques ou à certains groupes professionnels stigmatisés, se trouvent dans une situation défavorable. Leur nombre étant à la fois réduit et défini par une caractéristique commune (s'agissant en tout cas des personnes de père inconnu), il pourrait être soutenu qu'elles forment un groupe social déterminé. Néanmoins, même à ratifier la description que l'intéressé a faite de sa situation, et à suivre le rapport de l'OSAR joint au recours, rien ne permet d'admettre que les membres de ce groupe soient exposés à des mesures de persécution ; il font l'objet de discriminations sociales et professionnelles, ne bénéficient d'aucun appui en cas de litige avec des tiers, et ne peuvent compter sur le réseau d'entraide que permet l'affiliation clanique. Ils ne sont cependant les cibles d'aucune mesure spécifique et délibérée portant atteinte à leur vie ou leur liberté, ni de la part des autorités, ni de celle de tiers.</w:t>
      </w:r>
    </w:p>
    <w:p>
      <w:r>
        <w:rPr>
          <w:b/>
        </w:rPr>
        <w:t>E. 3.2.2</w:t>
      </w:r>
    </w:p>
    <w:p>
      <w:r>
        <w:t>Le recourant fait également valoir le risque de représailles émanant de la famille de sa femme. Sans aborder ici la vraisemblance de ce risque, le Tribunal constate toutefois qu'il n'est pas pertinent, faute d'un motif prévu à l'art. 3 LAsi. En effet, il s'agirait en l'espèce d'une volonté de vengeance émanant de tiers, qui n'auraient pas admis le mariage de leur parente avec l'intéressé. Il n'entre cependant dans cette volonté aucun composante politique, religieuse ou ethnique ; par ailleurs, il paraît impossible de la rattacher à l'appartenance du recourant à un groupe social déterminé. Seule pourrait ici entrer en considération une éventuelle illicéité de l'exécution du renvoi, dans la mesure où l'intéressé ne pourrait, en pratique, être protégé contre cette éventuelle vengeance privée ; toutefois, en l'espèce, cette question peut être laissée indécise.</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6.3</w:t>
      </w:r>
    </w:p>
    <w:p>
      <w:r>
        <w:t>Selon la jurisprudence élaborée par l'ancienne Commission suisse de recours en matière d'asile (CRA), et dont le Tribunal ne voit pas de raisons de s'écarter, la situation étant restée substantiellement la même, l'exécution du renvoi n'est pas raisonnablement exigible vers le centre et le sud de la Somalie. Elle l'est en revanche vers le Somaliland et la région voisine du Puntland, dans la mesure où la personne renvoyée entretenait, avant son départ, des liens étroits avec la région, peut y accéder à des moyens de subsistance après son retour et y dispose du soutien effectif d'un réseau clanique (Jurisprudence et informations de la Commission suisse de recours en matière d'asile [JICRA] 2006 n° 2, consid. 6.4.2 et 7.2, p. 21-22 et 25-27).</w:t>
      </w:r>
    </w:p>
    <w:p>
      <w:r>
        <w:rPr>
          <w:b/>
        </w:rPr>
        <w:t>E. 6.4</w:t>
      </w:r>
    </w:p>
    <w:p>
      <w:r>
        <w:t>Dans le cas du recourant, ces conditions n'apparaissent pas remplies. En effet, enfant né hors mariage dont la mère est décédée, il ne dispose d'aucun réseau social ou familial au Somaliland. Il ne peut pas compter non plus sur le soutien d'un clan, puisqu'il ne fait partie d'aucun d'entre eux. Ses perspectives de réintégration apparaissent donc mauvaises, ce d'autant plus qu'il semble n'avoir jamais été scolarisé, est dépourvu de toute formation professionnelle, et que rien n'atteste qu'il pourra rouvrir son petit commerce, ses économies ayant été entièrement consacrées à assumer les frais de son voyage jusqu'en Suisse. Il risque donc, avec un fort degré de probabilité, de se trouver dépourvu de tout moyen d'existence et de sombrer dans un dénuement aux conséquences potentiellement dramatiques. Dans ce contexte très défavorable, le fait que l'intéressé soit encore jeune et sans charge de famille n'est pas décisif. Son état de santé n'est certes pas d'une extrême gravité, et ne peut avoir des conséquences fatales qu'en cas d'arrêt du traitement ; une telle hypothèse est cependant susceptible de se concrétiser en cas de retour, l'absence de tout moyen financier risquant en effet d'exclure l'accès du recourant aux soins nécessaires. L'asthme potentiellement sérieux touchant l'intéressé constitue donc un autre facteur aggravant.</w:t>
      </w:r>
    </w:p>
    <w:p>
      <w:r>
        <w:rPr>
          <w:b/>
        </w:rPr>
        <w:t>E. 6.5</w:t>
      </w:r>
    </w:p>
    <w:p>
      <w:r>
        <w:t>Dans les conditions du cas d'espèce, l'exécution du renvoi doit donc être considérée comme inexigible. Dès lors,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7</w:t>
      </w:r>
    </w:p>
    <w:p>
      <w:r>
        <w:t>En conséquence, le recours doit être admis, en tant qu'il conclut au prononcé de l'admission provisoire, et la décision attaquée annulée sur ce point. L'autorité de première instance est donc invitée à prononcer l'admission provisoire du recourant.</w:t>
      </w:r>
    </w:p>
    <w:p>
      <w:r>
        <w:rPr>
          <w:b/>
        </w:rPr>
        <w:t>E. 8.1</w:t>
      </w:r>
    </w:p>
    <w:p>
      <w:r>
        <w:t>L'assistance judiciaire partielle ayant été accordée, il n'est pas perçu de frais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Dès lors, le Tribunal fixe le montant de l'indemnité, sur la base de la note de frais jointe au recours, d'un montant de Fr. 1550.- (art. 14 al. 2 du règlement du 11 décembre 2006 concernant les frais, dépens et indemnités fixés par le Tribunal administratif fédéral [FITAF, RS 173.320.2]), à la somme globale de Fr. 1700.-, compte tenu d'une estimation raisonnable des frais survenus depuis. L'admission du recours étant partielle, les dépens sont arrêtés à la moitié de cette somme, soit Fr. 850.-.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