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E-2155/2017 vom 31. Mai 2017</w:t>
      </w:r>
    </w:p>
    <w:p>
      <w:r>
        <w:t>Bundesverwaltungsgericht, 2017-05-31, DE</w:t>
      </w:r>
    </w:p>
    <w:p>
      <w:r>
        <w:rPr>
          <w:b/>
        </w:rPr>
        <w:t xml:space="preserve">Quelle: </w:t>
      </w:r>
      <w:r>
        <w:t>https://mcp.opencaselaw.ch/entscheid/bvger_E-2155_2017</w:t>
      </w:r>
    </w:p>
    <w:p>
      <w:r>
        <w:t>FR: TAF E-2155/2017 du 31 mai 2017</w:t>
      </w:r>
    </w:p>
    <w:p>
      <w:r>
        <w:t>IT: TAF E-2155/2017 del 31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3 AsylG an die Flüchtlingseigenschaft und von Art. 7 AsylG an die Glaubhaftmachung nicht genügend. Er habe die konkrete Situation der geltend gemachten Zwangsrekrutierung durch die LTTE im Jahr 2006 trotz mehrmaliger Nachfragen nur substanzlos schildern können. Seine entsprechenden Aussagen seien unpersönlich und auf reine Handlungsabfolgen beschränkt geblieben. In gleicher Weise habe er nur wenig konkret und undetailliert von der folgenden Aufgabenzuteilung durch die LTTE, seiner Tätigkeit als Chauffeur wie auch den dabei empfundenen Gefühlen berichtet. Bezeichnenderweise habe er von keinem besonderen Ereignis während seiner Chauffeurfahrten zu erzählen vermocht. Des Weiteren seien die Umstände, als es zum Abbruch der besagten Tätigkeiten für die LTTE gekommen sei, nicht plausibel. Schliesslich müssten seine Schilderungen betreffend die Festnahme am 2. Februar 2014 durch Beamte des CID als oberflächlich bezeichnet werden. Auch von den Verhören und Folterungen habe er nur unpersönlich und auf Handlungsabfolgen beschränkt zu berichten vermocht. Überdies wäre zu erwarten gewesen, dass er den Beamten - entgegen seinen Aussagen an der Anhörung - umgehend sämtliche Informationen zu seinen Fahrten hätte offenbaren müssen. Es sei mithin wenig plausibel, dass er zuerst aus der Haft entlassen und anschliessend zuhause beobachtet worden sei. Ausserdem seien die Umstände seiner Flucht zweifelhaft. So habe er nicht nachvollziehbar dargelegt, wie er sein Haus trotz Aufsicht unbemerkt habe verlassen können. Zudem sei anzuzweifeln, dass sein Onkel innerhalb von fünf Tagen ein Visum für Indien beschafft haben soll. Nicht nachvollziehbar sei, wie er am Flughafen in Colombo, der über eine hohe Präsenz an CID-Beamten aufweise, sämtliche Kontrollen habe passieren können. Der eingereichte Zeitungsartikel vermöge an der Unglaubhaftigkeit der geltend gemachten Verfolgung durch den CID nichts zu ändern. Die Frage, ob im Falle des Beschwerdeführers aufgrund anderer Risikofaktoren konkrete Hinweise auf zukünftig drohende Verfolgungsmassnahmen in Sri Lanka bestehen, verneinte das SEM ebenfalls. So würden seine Zugehörigkeit zur tamilischen Ethnie, sein Alter und die vorliegend dreijährige Landesabwesenheit gemäss herrschender Praxis nicht ausreichen, um eine Bedrohungslage gemäss Art. 3 AsylG zu begründen. Zusätzliche Gefährdungsfaktoren seien nicht ersichtlich.</w:t>
      </w:r>
    </w:p>
    <w:p>
      <w:r>
        <w:rPr>
          <w:b/>
        </w:rPr>
        <w:t>E. 5.2</w:t>
      </w:r>
    </w:p>
    <w:p>
      <w:r>
        <w:t>In seiner Rechtsmitteleingabe bringt der Beschwerdeführer vor, die eingereichten Beweismittel würden den behördlichen Verdacht hinsichtlich seiner Verbindungen zu den LTTE belegen. Gemäss bundesverwaltungsgerichtlicher Praxis bestünde somit die Gefahr, dass er bei einer Rückkehr in sein Heimatland verhaftet würde.</w:t>
      </w:r>
    </w:p>
    <w:p>
      <w:r>
        <w:rPr>
          <w:b/>
        </w:rPr>
        <w:t>E. 5.3</w:t>
      </w:r>
    </w:p>
    <w:p>
      <w:r>
        <w:t>In der Zwischenverfügung des Bundesverwaltungsgerichts vom 24. April 2017 wurde die mittels summarischer Prüfung festgestellte Aussichtslosigkeit der Beschwerde wie Folgt begründet, "dass das SEM nach zutreffender Sachverhaltsfeststellung in seinen Erwägungen mit überzeugender Begründung zur Erkenntnis gelangt sein dürfte, die Vorbringen des Beschwerdeführers würden den Anforderungen von Art. 3 AsylG an die Flüchtlingseigenschaft und Art. 7 AsylG an die Glaubhaftmachung nicht genügen, weshalb seine Flüchtlingseigenschaft zu verneinen sei und er keinen Anspruch auf Gewährung des Asyls habe, dass es ebenso die Anordnung der Wegweisung und deren Vollzug gesetzes- und praxiskonform erwogen haben dürfte, dass auf die vorinstanzlichen Erwägungen verwiesen werden kann und diese aufrechtzuhalten sein dürften, dass die Beschwerde, wie im Folgenden dargelegt, keine andere Betrachtungsweise aufdrängt, dass der Beschwerdeführer im Wesentlichen die mit der Rechtsmittelschrift eingereichten Beweismittel ins Feld führt, dass die Unterstützungsschreiben - obwohl angeblich von unterschiedlichen Personen verfasst - teilweise denselben Wortlauft aufweisen, dass die in der polizeilichen Verfügung vom 15. Januar 2017 ausdrücklich angedrohte Festnahme seiner Mutter und seines Bruders bei Nichterscheinen des Beschwerdeführers vor den Behörden bis zum 20. Januar 2017 unter Berücksichtigung der Akten wenig plausibel erscheint, dass überdies nicht ersichtlich ist, wie die Beweismittel nun erhältlich gemacht werden konnten und weshalb die Unterstützungsschreiben und die polizeiliche Verfügung nicht bereits anlässlich des vorinstanzlichen Verfahrens eingereicht wurden, dass der Beschwerdeführer noch an der Anhörung verneinte, entsprechende Beweismittel beschaffen zu können, dass vor dem Hintergrund der relativ einfachen Beschaffenheit sowie bekannten Käuflichkeit der betreffenden Dokumente die Beweiskraft der Beweismittel als gering zu beurteilen ist, womit sie die vorinstanzlichen Erwägungen nicht in Frage stellen dürften".</w:t>
      </w:r>
    </w:p>
    <w:p>
      <w:r>
        <w:rPr>
          <w:b/>
        </w:rPr>
        <w:t>E. 5.4</w:t>
      </w:r>
    </w:p>
    <w:p>
      <w:r>
        <w:t>Das Bundesverwaltungsgericht gelangt übereinstimmend mit der Vor-instanz zur Auffassung, dass die Verfolgungsvorbringen des Beschwerdeführers den Anforderungen von Art. 7 AsylG an die Glaubhaftmachung nicht genügen und zudem keine begründete Furcht vor Verfolgungsmassnahmen gemäss Art. 3 AsylG vorliegt. Die umfassenden Erwägungen vermögen weitgehend zu überzeugen, während die Beschwerdeschrift keine stichhaltigen Einwände oder Erklärungen beinhaltet. Des Weiteren kann zur Vermeidung von Wiederholungen auf die zuvor zitierte Würdigung gemäss Zwischenverfügung verwiesen werden. Diese hat auch nach einer eingehenden Prüfung der Akten Bestand. Auf die Erörterung weiterer Unglaubhaftigkeitselemente - unter anderem bezüglich des mit dem Anhörungsprotokoll inkonsistenten Inhalts der Unterstützungsschreiben - kann angesichts des klaren Ergebnisses verzichtet werden.</w:t>
      </w:r>
    </w:p>
    <w:p>
      <w:r>
        <w:rPr>
          <w:b/>
        </w:rPr>
        <w:t>E. 5.5</w:t>
      </w:r>
    </w:p>
    <w:p>
      <w:r>
        <w:t>Aufgrund des Gesagten ist festzuhalten, dass das SEM das Bestehen einer Verfolgungssituation des Beschwerdeführers beziehungsweise dessen Flüchtlingseigenschaft und die Gewährung des Asyls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Aus den Akten ergeben sich sodann keine konkreten Anhaltspunkte dafür, dass der Beschwerdeführer für den Fall der Ausschaffung nach Sri Lanka dort mit beachtlicher Wahrscheinlichkeit Massnahmen zu befürchten hätte, die über einen sogenannten "Background Check" (Befragung und Überprüfung von Tätigkeiten im In- und Ausland) hinausgehen würden, oder dass er mit beachtlicher Wahrscheinlichkeit einer nach Art. 3 EMRK oder Art. 1 FoK verbotenen Strafe oder Behandlung ausgesetzt wäre. Der Vollzug der Wegweisung ist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wuchs der Beschwerdeführer doch in der Stadt B._______, südlich des Vanni-Gebiets, auf. Es kann davon ausgegangen werden, dass er die Möglichkeit hat, sich erneut in dieser Region niederzulassen. Im Übrigen handelt es sich bei ihm um einen relativ jungen, gesunden Mann mit Schulbildung und Arbeitserfahrung. Zudem verfügt er über ein familiäres Beziehungsnetz (unter anderem Ehefrau), welches ihn bei der Wiedereingliederung in seiner Heimat unterstützen kann. Mithin bestehen keine Gründe dafür, dass er bei einer Rückkehr in seinen Heimatstaat in eine existenzielle Notlage geraten würde. Nach dem Gesagten erweist sich der Vollzug der Wegweisung als zumutbar (vgl. auch das Referenzurteil E-1866/2015 vom 15. Juli 2016).</w:t>
      </w:r>
    </w:p>
    <w:p>
      <w:r>
        <w:rPr>
          <w:b/>
        </w:rPr>
        <w:t>E. 7.4</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weiter auf die Beschwerdevorbringen und die Beweismittel einzugehen.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8. Mai 2015 geleistete Kostenvorschuss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