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E-2153/2024 vom 22. April 2024</w:t>
      </w:r>
    </w:p>
    <w:p>
      <w:r>
        <w:t>Bundesverwaltungsgericht, 2024-04-22, FR</w:t>
      </w:r>
    </w:p>
    <w:p>
      <w:r>
        <w:rPr>
          <w:b/>
        </w:rPr>
        <w:t xml:space="preserve">Quelle: </w:t>
      </w:r>
      <w:r>
        <w:t>https://mcp.opencaselaw.ch/entscheid/bvger_E-2153_2024</w:t>
      </w:r>
    </w:p>
    <w:p>
      <w:r>
        <w:t>FR: TAF E-2153/2024 du 22 avril 2024</w:t>
      </w:r>
    </w:p>
    <w:p>
      <w:r>
        <w:t>IT: TAF E-2153/2024 del 22 aprile 2024</w:t>
      </w:r>
    </w:p>
    <w:p>
      <w:pPr>
        <w:pStyle w:val="Heading2"/>
      </w:pPr>
      <w:r>
        <w:t>Regeste</w:t>
      </w:r>
    </w:p>
    <w:p>
      <w:r>
        <w:t>Demande de restitution du délai après décision de non-enrée en matière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restitution de délai est rejetée.</w:t>
      </w:r>
    </w:p>
    <w:p>
      <w:r>
        <w:rPr>
          <w:b/>
        </w:rPr>
        <w:t>E. 2</w:t>
      </w:r>
    </w:p>
    <w:p>
      <w:r>
        <w:t>L'arrêt E-1066/2024 du 25 mars 2024, déclarant irrecevable le recours du 19 février 2024, demeure en force.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au requérant, au SEM et à l'autorité cantonale. Le président du collège : Le greffier : Grégory Sauder Jean-Luc Bettin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