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E-2151/2016 vom 9. Juni 2016</w:t>
      </w:r>
    </w:p>
    <w:p>
      <w:r>
        <w:t>Bundesverwaltungsgericht, 2016-06-09, DE</w:t>
      </w:r>
    </w:p>
    <w:p>
      <w:r>
        <w:rPr>
          <w:b/>
        </w:rPr>
        <w:t xml:space="preserve">Quelle: </w:t>
      </w:r>
      <w:r>
        <w:t>https://mcp.opencaselaw.ch/entscheid/bvger_E-2151_2016</w:t>
      </w:r>
    </w:p>
    <w:p>
      <w:r>
        <w:t>FR: TAF E-2151/2016 du 9 juin 2016</w:t>
      </w:r>
    </w:p>
    <w:p>
      <w:r>
        <w:t>IT: TAF E-2151/2016 del 9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mithin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Die Anerkennung der Flüchtlingseigenschaft setzt zudem voraus, dass die betroffene Person landesweiter Verfolgung ausgesetzt ist und sich nicht in einem anderen Teil ihres Heimatstaates in Schutz bringen kann (vgl. Entscheidungen und Mitteilungen der Schweizerischen Asylrekurskommis-sion [EMARK] 2006 Nr. 18; BVGE 2011/51).</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Parteien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EMARK 2006 Nr. 24 E. 5.1).</w:t>
      </w:r>
    </w:p>
    <w:p>
      <w:r>
        <w:rPr>
          <w:b/>
        </w:rPr>
        <w:t>E. 4.2</w:t>
      </w:r>
    </w:p>
    <w:p>
      <w:r>
        <w:t>Das Verwaltungs- respektive Asylverfahren wird ferner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Patrick L. Krauskopf/Katrin Emmenegger/Fabio Babey, in: Praxiskommentar Verwaltungsverfahrensgersetz VwVG, Waldmann/Weissberger (Hrsg.), 2. Aufl. 2016, Art. 12 VwVG N 19 ff., Alfred Kölz/Isabelle Häner/Martin Bertschi, Verwaltungsverfahren und Verwaltungsrechtspflege des Bundes, 3. Aufl., Zürich 2013, Rz. 1043 ff.).</w:t>
      </w:r>
    </w:p>
    <w:p>
      <w:r>
        <w:rPr>
          <w:b/>
        </w:rPr>
        <w:t>E. 5.1</w:t>
      </w:r>
    </w:p>
    <w:p>
      <w:r>
        <w:t>Die Beschwerdeführerin bringt vor, es drohe ihr wegen ihrer Zugehörigkeit zu einer protestantischen Glaubensgemeinschaft eine asylrelevante Verfolgung durch den chinesischen Staat. Protestantismus ist in China nicht per se verboten. Vielmehr ist es Protestanten erlaubt, in von der Regierung offiziell registrierten Kirchen Gottesdienste abzuhalten. Gewisse nichtregistrierte christliche Gruppierungen werden von der Regierung indes als "verwerfliche Kultusgemeinschaften" angesehen. Sie sind mithin verboten, weshalb ihre Anhängerschaft dem Risiko einer Verfolgung durch die chinesischen Behörden ausgesetzt ist. Zu den bekanntesten dieser Gruppierungen gehören die Gemeinschaften Eastern Lightning, Shouters, Society of Disciples (Mentu Hui), Full Scope Church, Spirit Sect, New Testament Church, Three Grades of Servants (or San Ban Pu Ren), Association of Disciples, Lord God Sect, Established King Church, Unification Church, Family of Love und South China Church. Bezüglich der von der Beschwerdeführerin angegebenen Glaubensgemeinschaft mit dem Namen "Yinxinchengyi" ist die Quellenlage sehr dünn. Eine mögliche Übersetzung dieses Namens wäre - wie auch von der Beschwerdeführerin anlässlich ihrer Anhörung darauf hingewiesen (vgl. A4/13, Rz. 7.02 sowie Bst. A) - "Gerechtigkeit durch Glaube". Inwiefern diese Glaubensgemeinschaft in den Augen der chinesischen Behörden eine "verwerfliche Kultusgemeinschaft" darstellt und ihre Anhängerschaft in China asylrelevante Verfolgung zu befürchten hat, ist unklar (vgl. Freedom House, Freedom in the World 2016 - China, 27. Januar 2016; U.S. Department of State, International Religious Freedom Report for 2014 - China, 14. Oktober 2015; Australian Government Migration Review Tribunal / Refugee Review Tribunal [MRT/RRT], Background Paper - Protestants in China, 21. September 2013; David C. Schak, Protestantism in China: A Dilemma for the Party-State, in: Journal of Current Chinese Affairs, 2/2011, S. 71 ff.). Diese Frage sowie die Frage, ob der Beschwerdeführerin tatsächlich geglaubt werden kann, dass sie Mitglied dieser Glaubensgemeinschaft ist, können mit Blick auf die nachfolgenden Ausführungen im Rahmen des vorliegenden Urteils offen bleiben.</w:t>
      </w:r>
    </w:p>
    <w:p>
      <w:r>
        <w:rPr>
          <w:b/>
        </w:rPr>
        <w:t>E. 5.2</w:t>
      </w:r>
    </w:p>
    <w:p>
      <w:r>
        <w:t>Das SEM begründete seinen negativen Asylentscheid damit, dass die Vorbringen der Beschwerdeführerin unglaubhaft seien, wobei es sich bei seiner Glaubhaftigkeitsprüfung hauptsächlich auf deren Aussagen anlässlich der Kurzbefragung und der eingehenden Anhörung abstützte. Während das Protokoll der Kurzbefragung keinen Anlass zu Beanstandungen gibt, geht aus jenem betreffend die eingehende Anhörung hervor, dass es zwischen der Beschwerdeführerin und dem Dolmetscher wiederholt zu gravierenden Verständigungsproblemen gekommen ist. Zwar gab die Beschwerdeführerin zu Beginn der Anhörung noch an, den Dolmetscher gut zu verstehen (vgl. A13/24, F1). Bereits bei Frage 17 bemerkte der Dolmetscher indes, dass die Beschwerdeführerin einen starken lokalen Akzent habe. Bei Frage 43 äusserte die Hilfswerksvertretung das Anliegen, der Dolmetscher möge doch nicht so viele Rückfragen stellen, damit die Vorbringen der Beschwerdeführerin so sinngemäss wie möglich blieben und nicht plötzlich zur Geschichte des Dolmetschers würden. Daraufhin gab der Dolmetscher wieder zu Protokoll, dass die Beschwerdeführerin einen starken lokalen Akzent habe. Wie den expliziten Anmerkungen an verschiedenen Stellen im Protokoll zu entnehmen ist, schien er diesen Akzent teilweise gar nicht zu verstehen (vgl. z.B. A13/24, F62, F68, F74). Gewisse der im Protokoll niedergeschriebenen Antworten ergeben derart wenig Sinn oder sind so lückenhaft, dass nicht davon auszugehen ist, der Dolmetscher habe die Beschwerdeführerin verstanden (vgl. z.B. A13/24, F44, F81, F92, F117, F160, F164). Schliesslich ist auch den Notizen der Hilfswerksvertretung zu entnehmen, dass zwischen dem Dolmetscher und der Beschwerdeführerin keine einwandfreie Verständigung möglich war (vgl. A13/24, Blatt der HWV). Angesichts dieser augenfälligen Verständigungsprobleme erscheint es stossend, gestützt auf die Aussagen der Beschwerdeführerin anlässlich der eingehenden Anhörung von der Unglaubhaftigkeit ihres Verfolgungsvorbringens auszugehen, zumal nicht klar ist, ob ihre aus dem Anhörungsprotokoll hervorgehenden Schilderungen tatsächlich wirr und widersprüchlich waren oder ob diese lediglich aufgrund der Übersetzungsschwierigkeiten dergestalt daherkommen. Gerade mit Blick auf ein eher abstraktes Thema wie die Beschreibung des eigenen Glaubens erscheint eine möglichst wortgetreue Übersetzung der Ausführungen der asylsuchenden Person aber besonders wichtig. Das SEM wäre gehalten gewesen, die Anhörung bereits bei Frage 17 - als der Dolmetscher zu verstehen gegeben hatte, die Beschwerdeführerin habe einen starken lokalen Akzent - spätestens aber bei Frage 43 - als sich die Hilfswerkvertretung zu Wort gemeldet hatte - abzubrechen, um zu eruieren, welchen Dialekt die Beschwerdeführerin genau spricht, und einen entsprechenden Dolmetscher zu engagieren. Durch das gewählte Vorgehen hat es sowohl seine Abklärungspflicht als auch den Anspruch der Beschwerdeführerin auf rechtliches Gehör verletzt.</w:t>
      </w:r>
    </w:p>
    <w:p>
      <w:r>
        <w:rPr>
          <w:b/>
        </w:rPr>
        <w:t>E. 5.3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Angesichts der zuvor erwähnten schwerwiegenden Verständigungsprobleme zwischen dem Dolmetscher und der Beschwerdeführerin ist letztere erneut zu ihren Verfolgungsvorbringen zu befragen. Dazu ist zunächst zu eruieren, welchen Dialekt die Beschwerdeführerin genau spricht, sowie ein Dolmetscher mit entsprechenden sprachlichen Kenntnissen zu organisieren. Da diese Schritte den Rahmen des Beschwerdeverfahrens sprengen, ist es angezeigt, die Sache zu deren Vornahme ans SEM zurückzuweisen.</w:t>
      </w:r>
    </w:p>
    <w:p>
      <w:r>
        <w:rPr>
          <w:b/>
        </w:rPr>
        <w:t>E. 6</w:t>
      </w:r>
    </w:p>
    <w:p>
      <w:r>
        <w:t>Bei diesem Ausgang des Verfahrens sind keine Kosten zu erheben (Art. 63 Abs. 1 VwVG). Das Gesuch um Gewährung der unentgeltlichen Rechtspflege, inklusive Verbeiständung, wird damit gegenstandslos. Da ferner auch nicht ersichtlich ist, welche notwendigen Kosten im Sinne von Art. 64 Abs. 1 VwVG der bisher nicht vertretenen Beschwerdeführerin im Beschwerdeverfahren entstanden sind, ist ihr auch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