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E-2149/2019 vom 19. Dezember 2019</w:t>
      </w:r>
    </w:p>
    <w:p>
      <w:r>
        <w:t>Bundesverwaltungsgericht, 2019-12-19, FR</w:t>
      </w:r>
    </w:p>
    <w:p>
      <w:r>
        <w:rPr>
          <w:b/>
        </w:rPr>
        <w:t xml:space="preserve">Quelle: </w:t>
      </w:r>
      <w:r>
        <w:t>https://mcp.opencaselaw.ch/entscheid/bvger_E-2149_2019</w:t>
      </w:r>
    </w:p>
    <w:p>
      <w:r>
        <w:t>FR: TAF E-2149/2019 du 19 décembre 2019</w:t>
      </w:r>
    </w:p>
    <w:p>
      <w:r>
        <w:t>IT: TAF E-2149/2019 del 19 dicembre 2019</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3.2</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sérieux préjudices, mais encore un défaut de protection lié à sa condition féminine ainsi que l'absence d'une possibilité de protection interne, à l'intérieur du pays (cf. arrêts du Tribunal E-1451/2017 du 27 août 2018, E-2657/2015 du 4 avril 2017 et D-6729/2009 du 14 février 2013 ; voir aussi JICRA 2006 no 32 ; sur le refuge interne, voir encore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no 32 consid. 8.7.2).</w:t>
      </w:r>
    </w:p>
    <w:p>
      <w:r>
        <w:rPr>
          <w:b/>
        </w:rPr>
        <w:t>E. 3.3</w:t>
      </w:r>
    </w:p>
    <w:p>
      <w:r>
        <w:t>Les persécutions au sens de l'art. 3 LAsi, qu'elles émanent d'agents étatiques ou quasi-étatiques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2011/51 op. cit ; 2008/12 consid. 5.3 ; 2008/5 consid. 4.1 p. 60 ; 2008/4 consid. 5.2 ; JICRA 2006 n° 18 consid. 10.1 et 10.3.2).</w:t>
      </w:r>
    </w:p>
    <w:p>
      <w:r>
        <w:rPr>
          <w:b/>
        </w:rPr>
        <w:t>E. 3.4</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3.5</w:t>
      </w:r>
    </w:p>
    <w:p>
      <w:r>
        <w:t>L'incapacité à alléguer d'emblée un viol devant le SEM n'est pas un signe d'invraisemblance de celui-ci (cf. ATAF 2009/51 consid. 4.2.3 ; JICRA 2003 n° 17).</w:t>
      </w:r>
    </w:p>
    <w:p>
      <w:r>
        <w:rPr>
          <w:b/>
        </w:rPr>
        <w:t>E. 3.6</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4.1</w:t>
      </w:r>
    </w:p>
    <w:p>
      <w:r>
        <w:t>En l'espèce, le SEM a nié que le viol allégué par la recourante pouvait être mis en relation avec l'un des motifs exhaustivement énumérés à l'art. 3 LAsi. Certes, il est difficile de saisir ce qui a pu motiver les auteurs de son enlèvement, respectivement celui de son viol, et de déterminer si le viol relève d'une tactique de guerre ou encore d'une autre cause pertinente, plutôt que d'un effet secondaire ou collatéral de la guerre. Cela étant, le SEM a omis d'expliciter quelles informations générales relatives au conflit syrien (ou absence d'informations) l'avait conduit à nier une tactique de guerre dans le viol d'une femme civile kurde dans une zone contrôlée par le régime par un ou des agent(s) dudit régime et, partant, une persécution de genre et ethnique. Il a également omis de vérifier si l'impossibilité pour la recourante d'obtenir une poursuite pénale et une condamnation pour le viol était subordonnée à sa condition féminine. Or, dans l'hypothèse où le viol serait effectivement un effet collatéral de la guerre, le SEM devait examiner si, à la période considérée du viol, le régime à F._______, dans ses politiques ou sa pratique, accordait aux civils certains droits ou une certaine protection en réponse, d'une part, aux actes de violence d'ordre général commis par des agents de sécurité du régime et, d'autre part, aux violences sexuelles commises par ces mêmes agents. Dans l'hypothèse où cet examen révèlerait une discrimination de genre dans l'octroi d'une protection de la part de l'Etat, menant à un préjudice grave infligé en toute impunité, il y aurait lieu d'admettre une persécution de genre (cf. HCR, Principes directeurs sur la protection internationale : La persécution liée au genre dans le cadre de l'article 1A (2) de la Convention de 1951 et/ou son Protocole de 1967 relatifs au Statut des réfugiés, 8 juillet 2008, HCR/GIP/02/01 Rev.1, p. 4 s. ; voir également JICRA 2006 no 32 consid. 8.5 et 8.8.1). Le SEM n'était pas non plus fondé à nier l'existence d'une persécution liée à l'ethnie (associée à la race) sans examiner s'il existait à l'époque considérée à F._______ une pratique notoire de violences graves commises à l'encontre des civils d'ethnie kurde (cf. HCR, Principes directeurs sur la protection internationale : La persécution liée au genre dans le cadre de l'article 1A (2) de la Convention de 1951 et/ou son Protocole de 1967 relatifs au Statut des réfugiés, 8 juillet 2008, HCR/GIP/02/01 Rev.1, ch. 24 p. 16). Dans ce cadre, il devait également examiner si une personne d'ethnie kurde était entravée dans ses démarches tendant à obtenir une condamnation pour des violences subies de la part d'un agent du régime. Dans l'hypothèse où cet examen révèlerait une discrimination liée à l'appartenance ethnique, menant à un préjudice grave infligé en toute impunité, il y aurait lieu d'admettre une persécution ethnique. L'examen dont il est question dans le considérant qui précède doit se baser sur une analyse de la situation générale à F._______ à l'époque du viol allégué. En effet, dans l'hypothèse où cet examen conduirait à admettre l'exposition de la recourante à un sérieux préjudice pour l'un des motifs énumérés à l'art. 3 LAsi en lien de causalité temporel avec son départ de Syrie, un risque concret et sérieux de répétition de la persécution en cas de retour serait en principe présumé. Il en irait différemment en cas de rupture du lien de causalité matériel entre la persécution subie et le besoin de protection allégué au moment du prononcé, question que devrait encore résoudre le SEM. Faute d'avoir procédé à cet examen, le SEM a retenu le défaut de pertinence au sens de l'art. 3 LAsi du viol allégué sur la base d'un état de fait incomplet, voire violé son obligation de motiver sa décision concrétisée par l'art. 35 PA d'autant plus que celle-ci ne comportait aucun résumé de l'état de fait. A noter encore que l'insécurité prévalant en Syrie a conduit le SEM à admettre provisoirement la recourante en Suisse pour inexigibilité de l'exécution du renvoi. Par conséquent, il n'y a pas lieu d'admettre qu'une possibilité de refuge interne s'offrait et s'offre encore à elle à D._______, selon les critères jurisprudentiels (cf. ATAF 2011/51 consid. 7 et 8).</w:t>
      </w:r>
    </w:p>
    <w:p>
      <w:r>
        <w:rPr>
          <w:b/>
        </w:rPr>
        <w:t>E. 4.2</w:t>
      </w:r>
    </w:p>
    <w:p>
      <w:r>
        <w:t>Le SEM n'a pas analysé la vraisemblance au sens de l'art. 7 LAsi du viol allégué. S'il devait procéder à cette analyse, le SEM devrait préalablement compléter l'instruction. En effet, il devrait alors solliciter la production, par la recourante, de son diplôme universitaire, celui-ci constituant un moyen de preuve indirect et circonstanciel, non décisif en soi, mais qui ne saurait être négligé. En effet, selon ses déclarations, la recourante aurait été enlevée, puis violée un soir lorsqu'elle rentrait de son lieu de travail où elle accomplissait un stage. Or, celui-ci se serait inscrit dans la nécessité d'attendre la délivrance de son diplôme universitaire. En fonction des éléments recueillis sur ce point, on ne saurait exclure d'emblée la nécessité de poser à la recourante des questions complémentaires visant notamment à clarifier les faits relatifs à son parcours professionnel, aux circonstances entourant le viol et aux raisons liées à la personnalité de son futur époux qui l'auraient amenée à se confier sans crainte à lui alors qu'elle séjournait encore en Syrie.</w:t>
      </w:r>
    </w:p>
    <w:p>
      <w:r>
        <w:rPr>
          <w:b/>
        </w:rPr>
        <w:t>E. 4.3</w:t>
      </w:r>
    </w:p>
    <w:p>
      <w:r>
        <w:t>Au vu de ce qui précède, le SEM a établi l'état de fait pertinent de manière incomplète, voire violé l'obligation de motiver et, partant, le droit fédéral. En conséquence, il convient d'annuler la décision attaquée pour établissement incomplet de l'état de fait pertinent (cf. art. 106 al. 1 let. b LAsi) et de renvoyer l'affaire au SEM pour instruction complémentaire et nouvelle décision, dans le sens des considérants.</w:t>
      </w:r>
    </w:p>
    <w:p>
      <w:r>
        <w:rPr>
          <w:b/>
        </w:rPr>
        <w:t>E. 5</w:t>
      </w:r>
    </w:p>
    <w:p>
      <w:r>
        <w:t>Il est renoncé à un échange d'écritures (cf. art. 111a al. 1 LAsi).</w:t>
      </w:r>
    </w:p>
    <w:p>
      <w:r>
        <w:rPr>
          <w:b/>
        </w:rPr>
        <w:t>E. 6.1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132 V 215 consid. 6.1; Marcel Maillard, commentaire ad art. 63 PA, in : Praxiskommentar VwVG, Waldmann/Weissenberger [éd.], 2ème éd., 2016, no 14, p. 1314).</w:t>
      </w:r>
    </w:p>
    <w:p>
      <w:r>
        <w:rPr>
          <w:b/>
        </w:rPr>
        <w:t>E. 6.2</w:t>
      </w:r>
    </w:p>
    <w:p>
      <w:r>
        <w:t>Partant, il n'est pas perçu de frais (cf. art. 63 al. 1 et 2 PA). La demande d'exonération des frais de procédure devient donc sans objet.</w:t>
      </w:r>
    </w:p>
    <w:p>
      <w:r>
        <w:rPr>
          <w:b/>
        </w:rPr>
        <w:t>E. 6.3</w:t>
      </w:r>
    </w:p>
    <w:p>
      <w:r>
        <w:t>En outre, des dépens doivent être accordés à la recourante pour les frais nécessaires causés par le litige (cf. art. 64 al. 1 PA et art. 7 al. 1 du règlement du 21 février 2008 concernant les frais, dépens et indemnités fixés par le Tribunal administratif fédéral [FITAF, RS 173.320.2]). Ils sont fixés « ex aequo et bono » à 420 francs sur la base du dossier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